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5046A" w:rsidRDefault="00361803" w14:paraId="6C95BD8C" w14:textId="77777777">
      <w:pPr>
        <w:spacing w:after="177" w:line="259" w:lineRule="auto"/>
        <w:ind w:left="7978" w:firstLine="0"/>
      </w:pPr>
      <w:r>
        <w:rPr>
          <w:noProof/>
        </w:rPr>
        <w:drawing>
          <wp:inline distT="0" distB="0" distL="0" distR="0" wp14:anchorId="252D31E6" wp14:editId="51E0109B">
            <wp:extent cx="838200" cy="111950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838200" cy="1119505"/>
                    </a:xfrm>
                    <a:prstGeom prst="rect">
                      <a:avLst/>
                    </a:prstGeom>
                  </pic:spPr>
                </pic:pic>
              </a:graphicData>
            </a:graphic>
          </wp:inline>
        </w:drawing>
      </w:r>
    </w:p>
    <w:p w:rsidR="0055046A" w:rsidRDefault="00361803" w14:paraId="479587D0" w14:textId="77777777">
      <w:pPr>
        <w:pStyle w:val="Heading1"/>
        <w:tabs>
          <w:tab w:val="center" w:pos="3094"/>
        </w:tabs>
        <w:spacing w:after="127"/>
        <w:ind w:left="0" w:firstLine="0"/>
      </w:pPr>
      <w:r>
        <w:t xml:space="preserve">To: </w:t>
      </w:r>
      <w:r>
        <w:tab/>
      </w:r>
      <w:r>
        <w:t xml:space="preserve">Cabinet </w:t>
      </w:r>
    </w:p>
    <w:p w:rsidR="0055046A" w:rsidRDefault="00361803" w14:paraId="4E881C64" w14:textId="456F766C">
      <w:pPr>
        <w:tabs>
          <w:tab w:val="center" w:pos="3708"/>
        </w:tabs>
        <w:spacing w:after="136"/>
        <w:ind w:left="0" w:firstLine="0"/>
      </w:pPr>
      <w:r>
        <w:rPr>
          <w:b/>
        </w:rPr>
        <w:t xml:space="preserve">Date: </w:t>
      </w:r>
      <w:r>
        <w:rPr>
          <w:b/>
        </w:rPr>
        <w:tab/>
      </w:r>
      <w:r w:rsidRPr="00361803">
        <w:rPr>
          <w:bCs/>
        </w:rPr>
        <w:t>1</w:t>
      </w:r>
      <w:r w:rsidR="0012206C">
        <w:t>0 December</w:t>
      </w:r>
      <w:r>
        <w:t xml:space="preserve"> 2025</w:t>
      </w:r>
      <w:r>
        <w:rPr>
          <w:b/>
        </w:rPr>
        <w:t xml:space="preserve"> </w:t>
      </w:r>
    </w:p>
    <w:p w:rsidR="0055046A" w:rsidRDefault="00361803" w14:paraId="56B5FC66" w14:noSpellErr="1" w14:textId="1BF49296">
      <w:pPr>
        <w:tabs>
          <w:tab w:val="center" w:pos="4935"/>
        </w:tabs>
        <w:spacing w:after="136"/>
        <w:ind w:left="0" w:firstLine="0"/>
      </w:pPr>
      <w:r w:rsidRPr="00960D4E" w:rsidR="00361803">
        <w:rPr>
          <w:b w:val="1"/>
          <w:bCs w:val="1"/>
        </w:rPr>
        <w:t xml:space="preserve">Report of: </w:t>
      </w:r>
      <w:r w:rsidRPr="00960D4E" w:rsidR="7C63A656">
        <w:rPr>
          <w:b w:val="1"/>
          <w:bCs w:val="1"/>
        </w:rPr>
        <w:t xml:space="preserve">                     </w:t>
      </w:r>
      <w:r w:rsidR="00361803">
        <w:rPr/>
        <w:t>D</w:t>
      </w:r>
      <w:r w:rsidR="049964F2">
        <w:rPr/>
        <w:t>irector of Housing</w:t>
      </w:r>
    </w:p>
    <w:p w:rsidR="0055046A" w:rsidRDefault="00361803" w14:paraId="1EA0A741" w14:textId="3EB2926A">
      <w:pPr>
        <w:tabs>
          <w:tab w:val="center" w:pos="5242"/>
        </w:tabs>
        <w:ind w:left="0" w:firstLine="0"/>
      </w:pPr>
      <w:r>
        <w:rPr>
          <w:b/>
        </w:rPr>
        <w:t xml:space="preserve">Title of Report:  </w:t>
      </w:r>
      <w:r>
        <w:rPr>
          <w:b/>
        </w:rPr>
        <w:tab/>
      </w:r>
      <w:r w:rsidR="0012206C">
        <w:rPr>
          <w:b/>
        </w:rPr>
        <w:t xml:space="preserve">            </w:t>
      </w:r>
      <w:r w:rsidR="0012206C">
        <w:t>Resident Involvement</w:t>
      </w:r>
      <w:r w:rsidR="00C14607">
        <w:t xml:space="preserve"> and Engagement</w:t>
      </w:r>
      <w:r w:rsidR="0012206C">
        <w:t xml:space="preserve"> Strategy – 2025/2</w:t>
      </w:r>
      <w:r w:rsidR="00C14607">
        <w:t>8</w:t>
      </w:r>
      <w:r>
        <w:t xml:space="preserve"> </w:t>
      </w:r>
    </w:p>
    <w:p w:rsidR="0055046A" w:rsidRDefault="00361803" w14:paraId="143D260F" w14:textId="77777777">
      <w:pPr>
        <w:spacing w:after="0" w:line="259" w:lineRule="auto"/>
        <w:ind w:left="0" w:firstLine="0"/>
      </w:pPr>
      <w:r>
        <w:t xml:space="preserve"> </w:t>
      </w:r>
    </w:p>
    <w:tbl>
      <w:tblPr>
        <w:tblStyle w:val="TableGrid"/>
        <w:tblW w:w="8845" w:type="dxa"/>
        <w:tblInd w:w="118" w:type="dxa"/>
        <w:tblCellMar>
          <w:top w:w="60" w:type="dxa"/>
          <w:left w:w="10" w:type="dxa"/>
          <w:right w:w="115" w:type="dxa"/>
        </w:tblCellMar>
        <w:tblLook w:val="04A0" w:firstRow="1" w:lastRow="0" w:firstColumn="1" w:lastColumn="0" w:noHBand="0" w:noVBand="1"/>
      </w:tblPr>
      <w:tblGrid>
        <w:gridCol w:w="2536"/>
        <w:gridCol w:w="6309"/>
      </w:tblGrid>
      <w:tr w:rsidR="0055046A" w:rsidTr="00960D4E" w14:paraId="6AEB6B04" w14:textId="77777777">
        <w:trPr>
          <w:trHeight w:val="416"/>
        </w:trPr>
        <w:tc>
          <w:tcPr>
            <w:tcW w:w="2536" w:type="dxa"/>
            <w:tcBorders>
              <w:top w:val="single" w:color="000000" w:themeColor="text1" w:sz="8" w:space="0"/>
              <w:left w:val="single" w:color="000000" w:themeColor="text1" w:sz="8" w:space="0"/>
              <w:bottom w:val="single" w:color="000000" w:themeColor="text1" w:sz="8" w:space="0"/>
              <w:right w:val="nil"/>
            </w:tcBorders>
            <w:tcMar/>
          </w:tcPr>
          <w:p w:rsidR="0055046A" w:rsidRDefault="0055046A" w14:paraId="08E9BED5" w14:textId="77777777">
            <w:pPr>
              <w:spacing w:after="160" w:line="259" w:lineRule="auto"/>
              <w:ind w:left="0" w:firstLine="0"/>
            </w:pPr>
          </w:p>
        </w:tc>
        <w:tc>
          <w:tcPr>
            <w:tcW w:w="6309" w:type="dxa"/>
            <w:tcBorders>
              <w:top w:val="single" w:color="000000" w:themeColor="text1" w:sz="8" w:space="0"/>
              <w:left w:val="nil"/>
              <w:bottom w:val="single" w:color="000000" w:themeColor="text1" w:sz="8" w:space="0"/>
              <w:right w:val="single" w:color="000000" w:themeColor="text1" w:sz="8" w:space="0"/>
            </w:tcBorders>
            <w:tcMar/>
          </w:tcPr>
          <w:p w:rsidR="0055046A" w:rsidRDefault="00361803" w14:paraId="0A4A9965" w14:textId="77777777">
            <w:pPr>
              <w:spacing w:after="0" w:line="259" w:lineRule="auto"/>
              <w:ind w:left="16" w:firstLine="0"/>
            </w:pPr>
            <w:r>
              <w:rPr>
                <w:b/>
              </w:rPr>
              <w:t xml:space="preserve">Summary and recommendations </w:t>
            </w:r>
          </w:p>
        </w:tc>
      </w:tr>
      <w:tr w:rsidR="0055046A" w:rsidTr="00960D4E" w14:paraId="2A584B09" w14:textId="77777777">
        <w:trPr>
          <w:trHeight w:val="923"/>
        </w:trPr>
        <w:tc>
          <w:tcPr>
            <w:tcW w:w="2536" w:type="dxa"/>
            <w:tcBorders>
              <w:top w:val="single" w:color="000000" w:themeColor="text1" w:sz="8" w:space="0"/>
              <w:left w:val="single" w:color="000000" w:themeColor="text1" w:sz="8" w:space="0"/>
              <w:bottom w:val="nil"/>
              <w:right w:val="nil"/>
            </w:tcBorders>
            <w:tcMar/>
          </w:tcPr>
          <w:p w:rsidR="0055046A" w:rsidRDefault="00361803" w14:paraId="6475628D" w14:textId="77777777">
            <w:pPr>
              <w:spacing w:after="0" w:line="259" w:lineRule="auto"/>
              <w:ind w:left="98" w:firstLine="0"/>
            </w:pPr>
            <w:r>
              <w:rPr>
                <w:b/>
              </w:rPr>
              <w:t xml:space="preserve">Decision being taken: </w:t>
            </w:r>
          </w:p>
        </w:tc>
        <w:tc>
          <w:tcPr>
            <w:tcW w:w="6309" w:type="dxa"/>
            <w:tcBorders>
              <w:top w:val="single" w:color="000000" w:themeColor="text1" w:sz="8" w:space="0"/>
              <w:left w:val="nil"/>
              <w:bottom w:val="nil"/>
              <w:right w:val="single" w:color="000000" w:themeColor="text1" w:sz="8" w:space="0"/>
            </w:tcBorders>
            <w:tcMar/>
          </w:tcPr>
          <w:p w:rsidR="0055046A" w:rsidRDefault="00361803" w14:paraId="06529CDC" w14:noSpellErr="1" w14:textId="44600828">
            <w:pPr>
              <w:spacing w:after="0" w:line="259" w:lineRule="auto"/>
              <w:ind w:left="0" w:firstLine="0"/>
            </w:pPr>
            <w:r w:rsidR="3136996E">
              <w:rPr/>
              <w:t>Report to Cabinet and recommend to Council t</w:t>
            </w:r>
            <w:r w:rsidR="00361803">
              <w:rPr/>
              <w:t xml:space="preserve">o approve the </w:t>
            </w:r>
            <w:r w:rsidR="3B664425">
              <w:rPr/>
              <w:t xml:space="preserve">new </w:t>
            </w:r>
            <w:r w:rsidR="0012206C">
              <w:rPr/>
              <w:t xml:space="preserve">Resident </w:t>
            </w:r>
            <w:r w:rsidR="7D7E3062">
              <w:rPr/>
              <w:t xml:space="preserve">Involvement and </w:t>
            </w:r>
            <w:r w:rsidR="0012206C">
              <w:rPr/>
              <w:t>Engagement Strategy – 2025/2</w:t>
            </w:r>
            <w:r w:rsidR="094FBFA9">
              <w:rPr/>
              <w:t>8</w:t>
            </w:r>
            <w:r w:rsidR="0012206C">
              <w:rPr/>
              <w:t xml:space="preserve"> </w:t>
            </w:r>
          </w:p>
        </w:tc>
      </w:tr>
      <w:tr w:rsidR="0055046A" w:rsidTr="00960D4E" w14:paraId="5F10EF22" w14:textId="77777777">
        <w:trPr>
          <w:trHeight w:val="672"/>
        </w:trPr>
        <w:tc>
          <w:tcPr>
            <w:tcW w:w="2536" w:type="dxa"/>
            <w:tcBorders>
              <w:top w:val="nil"/>
              <w:left w:val="single" w:color="000000" w:themeColor="text1" w:sz="8" w:space="0"/>
              <w:bottom w:val="nil"/>
              <w:right w:val="nil"/>
            </w:tcBorders>
            <w:tcMar/>
          </w:tcPr>
          <w:p w:rsidR="0055046A" w:rsidRDefault="00361803" w14:paraId="18436B11" w14:textId="77777777">
            <w:pPr>
              <w:spacing w:after="0" w:line="259" w:lineRule="auto"/>
              <w:ind w:left="98" w:firstLine="0"/>
            </w:pPr>
            <w:r>
              <w:rPr>
                <w:b/>
              </w:rPr>
              <w:t xml:space="preserve">Key decision: </w:t>
            </w:r>
          </w:p>
        </w:tc>
        <w:tc>
          <w:tcPr>
            <w:tcW w:w="6309" w:type="dxa"/>
            <w:tcBorders>
              <w:top w:val="nil"/>
              <w:left w:val="nil"/>
              <w:bottom w:val="nil"/>
              <w:right w:val="single" w:color="000000" w:themeColor="text1" w:sz="8" w:space="0"/>
            </w:tcBorders>
            <w:tcMar/>
          </w:tcPr>
          <w:p w:rsidR="0055046A" w:rsidRDefault="00361803" w14:paraId="6D6F39FF" w14:textId="5EECD995">
            <w:pPr>
              <w:spacing w:after="0" w:line="259" w:lineRule="auto"/>
              <w:ind w:left="0" w:firstLine="0"/>
            </w:pPr>
            <w:r>
              <w:t>Yes.</w:t>
            </w:r>
            <w:hyperlink r:id="rId9">
              <w:r>
                <w:t xml:space="preserve"> </w:t>
              </w:r>
            </w:hyperlink>
            <w:r>
              <w:t xml:space="preserve">  </w:t>
            </w:r>
          </w:p>
        </w:tc>
      </w:tr>
      <w:tr w:rsidR="0055046A" w:rsidTr="00960D4E" w14:paraId="5F5B019C" w14:textId="77777777">
        <w:trPr>
          <w:trHeight w:val="672"/>
        </w:trPr>
        <w:tc>
          <w:tcPr>
            <w:tcW w:w="2536" w:type="dxa"/>
            <w:tcBorders>
              <w:top w:val="nil"/>
              <w:left w:val="single" w:color="000000" w:themeColor="text1" w:sz="8" w:space="0"/>
              <w:bottom w:val="nil"/>
              <w:right w:val="nil"/>
            </w:tcBorders>
            <w:tcMar/>
          </w:tcPr>
          <w:p w:rsidR="0055046A" w:rsidRDefault="00361803" w14:paraId="27B2E32A" w14:textId="77777777">
            <w:pPr>
              <w:spacing w:after="0" w:line="259" w:lineRule="auto"/>
              <w:ind w:left="98" w:firstLine="0"/>
            </w:pPr>
            <w:r>
              <w:rPr>
                <w:b/>
              </w:rPr>
              <w:t xml:space="preserve">Cabinet Member: </w:t>
            </w:r>
          </w:p>
        </w:tc>
        <w:tc>
          <w:tcPr>
            <w:tcW w:w="6309" w:type="dxa"/>
            <w:tcBorders>
              <w:top w:val="nil"/>
              <w:left w:val="nil"/>
              <w:bottom w:val="nil"/>
              <w:right w:val="single" w:color="000000" w:themeColor="text1" w:sz="8" w:space="0"/>
            </w:tcBorders>
            <w:tcMar/>
          </w:tcPr>
          <w:p w:rsidR="0055046A" w:rsidRDefault="00361803" w14:paraId="14C186BF" w14:textId="77777777">
            <w:pPr>
              <w:spacing w:after="0" w:line="259" w:lineRule="auto"/>
              <w:ind w:left="0" w:firstLine="0"/>
            </w:pPr>
            <w:r>
              <w:t xml:space="preserve">Councillor Linda Smith, Cabinet Member for Housing and Communities </w:t>
            </w:r>
          </w:p>
        </w:tc>
      </w:tr>
      <w:tr w:rsidR="0055046A" w:rsidTr="00960D4E" w14:paraId="7EC309F1" w14:textId="77777777">
        <w:trPr>
          <w:trHeight w:val="396"/>
        </w:trPr>
        <w:tc>
          <w:tcPr>
            <w:tcW w:w="2536" w:type="dxa"/>
            <w:tcBorders>
              <w:top w:val="nil"/>
              <w:left w:val="single" w:color="000000" w:themeColor="text1" w:sz="8" w:space="0"/>
              <w:bottom w:val="nil"/>
              <w:right w:val="nil"/>
            </w:tcBorders>
            <w:tcMar/>
          </w:tcPr>
          <w:p w:rsidR="0055046A" w:rsidRDefault="00361803" w14:paraId="4159AEAA" w14:textId="77777777">
            <w:pPr>
              <w:spacing w:after="0" w:line="259" w:lineRule="auto"/>
              <w:ind w:left="98" w:firstLine="0"/>
            </w:pPr>
            <w:r>
              <w:rPr>
                <w:b/>
              </w:rPr>
              <w:t xml:space="preserve">Corporate Priority: </w:t>
            </w:r>
          </w:p>
        </w:tc>
        <w:tc>
          <w:tcPr>
            <w:tcW w:w="6309" w:type="dxa"/>
            <w:tcBorders>
              <w:top w:val="nil"/>
              <w:left w:val="nil"/>
              <w:bottom w:val="nil"/>
              <w:right w:val="single" w:color="000000" w:themeColor="text1" w:sz="8" w:space="0"/>
            </w:tcBorders>
            <w:tcMar/>
          </w:tcPr>
          <w:p w:rsidR="0055046A" w:rsidRDefault="00361803" w14:paraId="288E864D" w14:textId="77777777">
            <w:pPr>
              <w:spacing w:after="0" w:line="259" w:lineRule="auto"/>
              <w:ind w:left="0" w:firstLine="0"/>
            </w:pPr>
            <w:r>
              <w:t xml:space="preserve">Good affordable homes </w:t>
            </w:r>
          </w:p>
        </w:tc>
      </w:tr>
      <w:tr w:rsidR="0055046A" w:rsidTr="00960D4E" w14:paraId="4A0D0F3E" w14:textId="77777777">
        <w:trPr>
          <w:trHeight w:val="712"/>
        </w:trPr>
        <w:tc>
          <w:tcPr>
            <w:tcW w:w="2536" w:type="dxa"/>
            <w:tcBorders>
              <w:top w:val="nil"/>
              <w:left w:val="single" w:color="000000" w:themeColor="text1" w:sz="8" w:space="0"/>
              <w:bottom w:val="single" w:color="000000" w:themeColor="text1" w:sz="4" w:space="0"/>
              <w:right w:val="nil"/>
            </w:tcBorders>
            <w:tcMar/>
          </w:tcPr>
          <w:p w:rsidR="0055046A" w:rsidRDefault="00361803" w14:paraId="1B6157D1" w14:textId="77777777">
            <w:pPr>
              <w:spacing w:after="0" w:line="259" w:lineRule="auto"/>
              <w:ind w:left="98" w:firstLine="0"/>
            </w:pPr>
            <w:r>
              <w:rPr>
                <w:b/>
              </w:rPr>
              <w:t xml:space="preserve">Policy Framework: </w:t>
            </w:r>
          </w:p>
        </w:tc>
        <w:tc>
          <w:tcPr>
            <w:tcW w:w="6309" w:type="dxa"/>
            <w:tcBorders>
              <w:top w:val="nil"/>
              <w:left w:val="nil"/>
              <w:bottom w:val="single" w:color="000000" w:themeColor="text1" w:sz="4" w:space="0"/>
              <w:right w:val="single" w:color="000000" w:themeColor="text1" w:sz="8" w:space="0"/>
            </w:tcBorders>
            <w:tcMar/>
          </w:tcPr>
          <w:p w:rsidR="0055046A" w:rsidRDefault="00361803" w14:paraId="0072AABF" w14:textId="77777777">
            <w:pPr>
              <w:spacing w:after="0" w:line="259" w:lineRule="auto"/>
              <w:ind w:left="0" w:firstLine="0"/>
            </w:pPr>
            <w:r>
              <w:t xml:space="preserve">Housing, Homelessness &amp; Rough Sleeping Strategy 2023-28 </w:t>
            </w:r>
          </w:p>
        </w:tc>
      </w:tr>
    </w:tbl>
    <w:p w:rsidR="0055046A" w:rsidRDefault="00361803" w14:paraId="720E9DA8" w14:textId="77777777">
      <w:pPr>
        <w:spacing w:after="0" w:line="259" w:lineRule="auto"/>
        <w:ind w:left="0" w:firstLine="0"/>
      </w:pPr>
      <w:r>
        <w:t xml:space="preserve"> </w:t>
      </w:r>
    </w:p>
    <w:tbl>
      <w:tblPr>
        <w:tblStyle w:val="TableGrid"/>
        <w:tblW w:w="8845" w:type="dxa"/>
        <w:tblInd w:w="118" w:type="dxa"/>
        <w:tblCellMar>
          <w:top w:w="60" w:type="dxa"/>
          <w:left w:w="108" w:type="dxa"/>
          <w:right w:w="53" w:type="dxa"/>
        </w:tblCellMar>
        <w:tblLook w:val="04A0" w:firstRow="1" w:lastRow="0" w:firstColumn="1" w:lastColumn="0" w:noHBand="0" w:noVBand="1"/>
      </w:tblPr>
      <w:tblGrid>
        <w:gridCol w:w="8845"/>
      </w:tblGrid>
      <w:tr w:rsidR="0055046A" w:rsidTr="00960D4E" w14:paraId="193E9900" w14:textId="77777777">
        <w:trPr>
          <w:trHeight w:val="433"/>
        </w:trPr>
        <w:tc>
          <w:tcPr>
            <w:tcW w:w="88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5046A" w:rsidRDefault="00361803" w14:paraId="35C31D0F" w14:textId="77777777">
            <w:pPr>
              <w:spacing w:after="0" w:line="259" w:lineRule="auto"/>
              <w:ind w:left="0" w:firstLine="0"/>
            </w:pPr>
            <w:r>
              <w:rPr>
                <w:b/>
              </w:rPr>
              <w:t xml:space="preserve">Recommendation(s): </w:t>
            </w:r>
            <w:r>
              <w:t xml:space="preserve">That Cabinet resolves to: </w:t>
            </w:r>
          </w:p>
        </w:tc>
      </w:tr>
      <w:tr w:rsidR="0055046A" w:rsidTr="00960D4E" w14:paraId="65375DE7" w14:textId="77777777">
        <w:trPr>
          <w:trHeight w:val="1640"/>
        </w:trPr>
        <w:tc>
          <w:tcPr>
            <w:tcW w:w="884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55046A" w:rsidRDefault="00361803" w14:paraId="11805298" w14:noSpellErr="1" w14:textId="7B28A68E">
            <w:pPr>
              <w:numPr>
                <w:ilvl w:val="0"/>
                <w:numId w:val="7"/>
              </w:numPr>
              <w:spacing w:after="120" w:line="240" w:lineRule="auto"/>
              <w:ind w:hanging="426"/>
              <w:rPr/>
            </w:pPr>
            <w:r w:rsidRPr="00960D4E" w:rsidR="00361803">
              <w:rPr>
                <w:b w:val="1"/>
                <w:bCs w:val="1"/>
              </w:rPr>
              <w:t xml:space="preserve">Approve </w:t>
            </w:r>
            <w:r w:rsidR="52BBEF85">
              <w:rPr/>
              <w:t xml:space="preserve">the </w:t>
            </w:r>
            <w:r w:rsidR="3558348A">
              <w:rPr/>
              <w:t xml:space="preserve">draft </w:t>
            </w:r>
            <w:r w:rsidR="52BBEF85">
              <w:rPr/>
              <w:t>Resident Involvement</w:t>
            </w:r>
            <w:r w:rsidR="7D7E3062">
              <w:rPr/>
              <w:t xml:space="preserve"> and Engagement</w:t>
            </w:r>
            <w:r w:rsidR="52BBEF85">
              <w:rPr/>
              <w:t xml:space="preserve"> Strategy (2025 – 202</w:t>
            </w:r>
            <w:r w:rsidR="094FBFA9">
              <w:rPr/>
              <w:t>8</w:t>
            </w:r>
            <w:r w:rsidR="52BBEF85">
              <w:rPr/>
              <w:t xml:space="preserve">) and action plan attached to the strategy which outlines how the priorities for resident </w:t>
            </w:r>
            <w:r w:rsidR="00C14607">
              <w:rPr/>
              <w:t xml:space="preserve">involvement and </w:t>
            </w:r>
            <w:r w:rsidR="52BBEF85">
              <w:rPr/>
              <w:t xml:space="preserve">engagement will be taken forward </w:t>
            </w:r>
          </w:p>
          <w:p w:rsidR="1E9F71C2" w:rsidP="00960D4E" w:rsidRDefault="1E9F71C2" w14:paraId="08D94AC6" w14:textId="07AE4646">
            <w:pPr>
              <w:pStyle w:val="ListParagraph"/>
              <w:numPr>
                <w:ilvl w:val="0"/>
                <w:numId w:val="7"/>
              </w:numPr>
              <w:spacing w:after="120" w:line="240" w:lineRule="auto"/>
              <w:rPr>
                <w:b w:val="1"/>
                <w:bCs w:val="1"/>
              </w:rPr>
            </w:pPr>
            <w:r w:rsidRPr="00960D4E" w:rsidR="1E9F71C2">
              <w:rPr>
                <w:b w:val="1"/>
                <w:bCs w:val="1"/>
              </w:rPr>
              <w:t>Recomme</w:t>
            </w:r>
            <w:r w:rsidRPr="00960D4E" w:rsidR="205B44CB">
              <w:rPr>
                <w:b w:val="1"/>
                <w:bCs w:val="1"/>
              </w:rPr>
              <w:t>n</w:t>
            </w:r>
            <w:r w:rsidRPr="00960D4E" w:rsidR="1E9F71C2">
              <w:rPr>
                <w:b w:val="1"/>
                <w:bCs w:val="1"/>
              </w:rPr>
              <w:t xml:space="preserve">d </w:t>
            </w:r>
            <w:r w:rsidR="1E9F71C2">
              <w:rPr>
                <w:b w:val="0"/>
                <w:bCs w:val="0"/>
              </w:rPr>
              <w:t>to Council to approve and adopt the new Resident Involvement and Engagement Strategy 2025-2028</w:t>
            </w:r>
          </w:p>
          <w:p w:rsidR="0055046A" w:rsidRDefault="00361803" w14:paraId="02ED508A" w14:noSpellErr="1" w14:textId="35F25B28">
            <w:pPr>
              <w:numPr>
                <w:ilvl w:val="0"/>
                <w:numId w:val="7"/>
              </w:numPr>
              <w:spacing w:after="0" w:line="259" w:lineRule="auto"/>
              <w:ind w:hanging="426"/>
              <w:rPr/>
            </w:pPr>
            <w:r w:rsidRPr="00960D4E" w:rsidR="00361803">
              <w:rPr>
                <w:b w:val="1"/>
                <w:bCs w:val="1"/>
              </w:rPr>
              <w:t xml:space="preserve">Delegate authority </w:t>
            </w:r>
            <w:r w:rsidR="00361803">
              <w:rPr/>
              <w:t xml:space="preserve">to the Director of Housing, </w:t>
            </w:r>
            <w:r w:rsidR="7E03BC47">
              <w:rPr/>
              <w:t xml:space="preserve">in consultation with the Cabinet Member for housing and </w:t>
            </w:r>
            <w:r w:rsidR="7E03BC47">
              <w:rPr/>
              <w:t>Communities</w:t>
            </w:r>
            <w:r w:rsidR="7E03BC47">
              <w:rPr/>
              <w:t xml:space="preserve">, </w:t>
            </w:r>
            <w:r w:rsidR="00361803">
              <w:rPr/>
              <w:t xml:space="preserve">on </w:t>
            </w:r>
            <w:r w:rsidR="52BBEF85">
              <w:rPr/>
              <w:t>approval</w:t>
            </w:r>
            <w:r w:rsidR="00361803">
              <w:rPr/>
              <w:t xml:space="preserve"> of the </w:t>
            </w:r>
            <w:r w:rsidR="52BBEF85">
              <w:rPr/>
              <w:t>strategy</w:t>
            </w:r>
            <w:r w:rsidR="3DE87104">
              <w:rPr/>
              <w:t>,</w:t>
            </w:r>
            <w:r w:rsidR="52BBEF85">
              <w:rPr/>
              <w:t xml:space="preserve"> to put in place the necessary governance and monitoring arrangements to oversee the implementation and delivery of the strategy</w:t>
            </w:r>
            <w:r w:rsidR="54915257">
              <w:rPr/>
              <w:t xml:space="preserve"> as well as to make any minor amendments reflective of legislative changes or best practice.</w:t>
            </w:r>
          </w:p>
        </w:tc>
      </w:tr>
    </w:tbl>
    <w:p w:rsidR="0055046A" w:rsidP="00DA7AEC" w:rsidRDefault="00361803" w14:paraId="34A4669E" w14:textId="5D517C5D">
      <w:pPr>
        <w:spacing w:after="98" w:line="259" w:lineRule="auto"/>
        <w:ind w:left="0" w:firstLine="0"/>
      </w:pPr>
      <w:r>
        <w:t xml:space="preserve">  </w:t>
      </w:r>
    </w:p>
    <w:tbl>
      <w:tblPr>
        <w:tblStyle w:val="TableGrid"/>
        <w:tblW w:w="9170" w:type="dxa"/>
        <w:tblInd w:w="118" w:type="dxa"/>
        <w:tblCellMar>
          <w:top w:w="55" w:type="dxa"/>
          <w:right w:w="115" w:type="dxa"/>
        </w:tblCellMar>
        <w:tblLook w:val="04A0" w:firstRow="1" w:lastRow="0" w:firstColumn="1" w:lastColumn="0" w:noHBand="0" w:noVBand="1"/>
      </w:tblPr>
      <w:tblGrid>
        <w:gridCol w:w="1912"/>
        <w:gridCol w:w="2922"/>
        <w:gridCol w:w="695"/>
        <w:gridCol w:w="3641"/>
      </w:tblGrid>
      <w:tr w:rsidR="0055046A" w:rsidTr="4FA168BA" w14:paraId="5373321F" w14:textId="77777777">
        <w:trPr>
          <w:trHeight w:val="411"/>
        </w:trPr>
        <w:tc>
          <w:tcPr>
            <w:tcW w:w="1912" w:type="dxa"/>
            <w:tcBorders>
              <w:top w:val="single" w:color="000000" w:themeColor="text1" w:sz="8" w:space="0"/>
              <w:left w:val="single" w:color="000000" w:themeColor="text1" w:sz="8" w:space="0"/>
              <w:bottom w:val="single" w:color="000000" w:themeColor="text1" w:sz="4" w:space="0"/>
              <w:right w:val="single" w:color="000000" w:themeColor="text1" w:sz="8" w:space="0"/>
            </w:tcBorders>
            <w:tcMar/>
          </w:tcPr>
          <w:p w:rsidR="0055046A" w:rsidRDefault="00361803" w14:paraId="22018D72" w14:textId="77777777">
            <w:pPr>
              <w:spacing w:after="0" w:line="259" w:lineRule="auto"/>
              <w:ind w:left="183" w:firstLine="0"/>
            </w:pPr>
            <w:r>
              <w:rPr>
                <w:b/>
              </w:rPr>
              <w:t xml:space="preserve">Appendix No. </w:t>
            </w:r>
          </w:p>
        </w:tc>
        <w:tc>
          <w:tcPr>
            <w:tcW w:w="2922" w:type="dxa"/>
            <w:tcBorders>
              <w:top w:val="single" w:color="000000" w:themeColor="text1" w:sz="8" w:space="0"/>
              <w:left w:val="single" w:color="000000" w:themeColor="text1" w:sz="8" w:space="0"/>
              <w:bottom w:val="single" w:color="000000" w:themeColor="text1" w:sz="4" w:space="0"/>
              <w:right w:val="single" w:color="000000" w:themeColor="text1" w:sz="8" w:space="0"/>
            </w:tcBorders>
            <w:tcMar/>
          </w:tcPr>
          <w:p w:rsidR="0055046A" w:rsidRDefault="00361803" w14:paraId="309C2448" w14:textId="77777777">
            <w:pPr>
              <w:spacing w:after="0" w:line="259" w:lineRule="auto"/>
              <w:ind w:left="115" w:firstLine="0"/>
              <w:jc w:val="center"/>
            </w:pPr>
            <w:r>
              <w:rPr>
                <w:b/>
              </w:rPr>
              <w:t xml:space="preserve">Appendix Title  </w:t>
            </w:r>
          </w:p>
        </w:tc>
        <w:tc>
          <w:tcPr>
            <w:tcW w:w="695" w:type="dxa"/>
            <w:tcBorders>
              <w:top w:val="single" w:color="000000" w:themeColor="text1" w:sz="8" w:space="0"/>
              <w:left w:val="single" w:color="000000" w:themeColor="text1" w:sz="8" w:space="0"/>
              <w:bottom w:val="single" w:color="000000" w:themeColor="text1" w:sz="4" w:space="0"/>
              <w:right w:val="nil"/>
            </w:tcBorders>
            <w:tcMar/>
          </w:tcPr>
          <w:p w:rsidR="0055046A" w:rsidRDefault="0055046A" w14:paraId="7128BE23" w14:textId="77777777">
            <w:pPr>
              <w:spacing w:after="160" w:line="259" w:lineRule="auto"/>
              <w:ind w:left="0" w:firstLine="0"/>
            </w:pPr>
          </w:p>
        </w:tc>
        <w:tc>
          <w:tcPr>
            <w:tcW w:w="3641" w:type="dxa"/>
            <w:tcBorders>
              <w:top w:val="single" w:color="000000" w:themeColor="text1" w:sz="8" w:space="0"/>
              <w:left w:val="nil"/>
              <w:bottom w:val="single" w:color="000000" w:themeColor="text1" w:sz="4" w:space="0"/>
              <w:right w:val="single" w:color="000000" w:themeColor="text1" w:sz="8" w:space="0"/>
            </w:tcBorders>
            <w:tcMar/>
          </w:tcPr>
          <w:p w:rsidR="0055046A" w:rsidRDefault="00361803" w14:paraId="431338B4" w14:textId="77777777">
            <w:pPr>
              <w:spacing w:after="0" w:line="259" w:lineRule="auto"/>
              <w:ind w:left="0" w:firstLine="0"/>
            </w:pPr>
            <w:r>
              <w:rPr>
                <w:b/>
              </w:rPr>
              <w:t xml:space="preserve">Exempt from Publication </w:t>
            </w:r>
          </w:p>
        </w:tc>
      </w:tr>
      <w:tr w:rsidR="0055046A" w:rsidTr="4FA168BA" w14:paraId="1A4E3F38" w14:textId="77777777">
        <w:trPr>
          <w:trHeight w:val="955"/>
        </w:trPr>
        <w:tc>
          <w:tcPr>
            <w:tcW w:w="1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5046A" w:rsidRDefault="00361803" w14:paraId="0556BC36" w14:textId="5E388B95">
            <w:pPr>
              <w:spacing w:after="0" w:line="259" w:lineRule="auto"/>
              <w:ind w:left="108" w:firstLine="0"/>
            </w:pPr>
            <w:r>
              <w:rPr>
                <w:b/>
              </w:rPr>
              <w:t xml:space="preserve">Appendix </w:t>
            </w:r>
            <w:r w:rsidR="00CB3F38">
              <w:rPr>
                <w:b/>
              </w:rPr>
              <w:t>1</w:t>
            </w:r>
            <w:r>
              <w:rPr>
                <w:b/>
              </w:rPr>
              <w:t xml:space="preserve"> </w:t>
            </w:r>
          </w:p>
        </w:tc>
        <w:tc>
          <w:tcPr>
            <w:tcW w:w="2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C493F" w:rsidR="0055046A" w:rsidP="00CB3F38" w:rsidRDefault="00680D82" w14:paraId="6B7F1B23" w14:textId="29480A42">
            <w:pPr>
              <w:pStyle w:val="Heading2"/>
              <w:ind w:left="370"/>
              <w:rPr>
                <w:rFonts w:ascii="Arial" w:hAnsi="Arial" w:cs="Arial"/>
                <w:color w:val="000000" w:themeColor="text1"/>
                <w:sz w:val="24"/>
                <w:szCs w:val="24"/>
              </w:rPr>
            </w:pPr>
            <w:r w:rsidRPr="00680D82">
              <w:rPr>
                <w:rFonts w:ascii="Arial" w:hAnsi="Arial" w:cs="Arial"/>
                <w:color w:val="000000" w:themeColor="text1"/>
                <w:sz w:val="24"/>
                <w:szCs w:val="24"/>
              </w:rPr>
              <w:t xml:space="preserve">Resident </w:t>
            </w:r>
            <w:r w:rsidR="00CB3F38">
              <w:rPr>
                <w:rFonts w:ascii="Arial" w:hAnsi="Arial" w:cs="Arial"/>
                <w:color w:val="000000" w:themeColor="text1"/>
                <w:sz w:val="24"/>
                <w:szCs w:val="24"/>
              </w:rPr>
              <w:t xml:space="preserve">Involvement and </w:t>
            </w:r>
            <w:r w:rsidRPr="00680D82">
              <w:rPr>
                <w:rFonts w:ascii="Arial" w:hAnsi="Arial" w:cs="Arial"/>
                <w:color w:val="000000" w:themeColor="text1"/>
                <w:sz w:val="24"/>
                <w:szCs w:val="24"/>
              </w:rPr>
              <w:t>Engagement</w:t>
            </w:r>
            <w:r w:rsidR="000C493F">
              <w:rPr>
                <w:rFonts w:ascii="Arial" w:hAnsi="Arial" w:cs="Arial"/>
                <w:color w:val="000000" w:themeColor="text1"/>
                <w:sz w:val="24"/>
                <w:szCs w:val="24"/>
              </w:rPr>
              <w:t xml:space="preserve"> </w:t>
            </w:r>
            <w:r w:rsidR="00CB3F38">
              <w:rPr>
                <w:rFonts w:ascii="Arial" w:hAnsi="Arial" w:cs="Arial"/>
                <w:color w:val="000000" w:themeColor="text1"/>
                <w:sz w:val="24"/>
                <w:szCs w:val="24"/>
              </w:rPr>
              <w:t>Strategy – 2025/28</w:t>
            </w:r>
          </w:p>
        </w:tc>
        <w:tc>
          <w:tcPr>
            <w:tcW w:w="695" w:type="dxa"/>
            <w:tcBorders>
              <w:top w:val="single" w:color="000000" w:themeColor="text1" w:sz="4" w:space="0"/>
              <w:left w:val="single" w:color="000000" w:themeColor="text1" w:sz="4" w:space="0"/>
              <w:bottom w:val="single" w:color="000000" w:themeColor="text1" w:sz="4" w:space="0"/>
              <w:right w:val="nil"/>
            </w:tcBorders>
            <w:tcMar/>
          </w:tcPr>
          <w:p w:rsidR="0055046A" w:rsidRDefault="00361803" w14:paraId="0640FE69" w14:textId="77777777">
            <w:pPr>
              <w:spacing w:after="98" w:line="259" w:lineRule="auto"/>
              <w:ind w:left="108" w:firstLine="0"/>
            </w:pPr>
            <w:r>
              <w:t xml:space="preserve">No  </w:t>
            </w:r>
          </w:p>
          <w:p w:rsidR="0055046A" w:rsidRDefault="00361803" w14:paraId="066CBCD1" w14:textId="77777777">
            <w:pPr>
              <w:spacing w:after="0" w:line="259" w:lineRule="auto"/>
              <w:ind w:left="108" w:firstLine="0"/>
            </w:pPr>
            <w:r>
              <w:t xml:space="preserve"> </w:t>
            </w:r>
          </w:p>
        </w:tc>
        <w:tc>
          <w:tcPr>
            <w:tcW w:w="3641" w:type="dxa"/>
            <w:tcBorders>
              <w:top w:val="single" w:color="000000" w:themeColor="text1" w:sz="4" w:space="0"/>
              <w:left w:val="nil"/>
              <w:bottom w:val="single" w:color="000000" w:themeColor="text1" w:sz="4" w:space="0"/>
              <w:right w:val="single" w:color="000000" w:themeColor="text1" w:sz="4" w:space="0"/>
            </w:tcBorders>
            <w:tcMar/>
          </w:tcPr>
          <w:p w:rsidR="0055046A" w:rsidRDefault="0055046A" w14:paraId="14945A05" w14:textId="77777777">
            <w:pPr>
              <w:spacing w:after="160" w:line="259" w:lineRule="auto"/>
              <w:ind w:left="0" w:firstLine="0"/>
            </w:pPr>
          </w:p>
        </w:tc>
      </w:tr>
      <w:tr w:rsidR="0055046A" w:rsidTr="4FA168BA" w14:paraId="5947FD11" w14:textId="77777777">
        <w:trPr>
          <w:trHeight w:val="682"/>
        </w:trPr>
        <w:tc>
          <w:tcPr>
            <w:tcW w:w="1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5046A" w:rsidRDefault="00361803" w14:paraId="46DC132C" w14:textId="21C1C8B1">
            <w:pPr>
              <w:spacing w:after="0" w:line="259" w:lineRule="auto"/>
              <w:ind w:left="108" w:firstLine="0"/>
            </w:pPr>
            <w:r>
              <w:rPr>
                <w:b/>
              </w:rPr>
              <w:t xml:space="preserve">Appendix </w:t>
            </w:r>
            <w:r w:rsidR="00CB3F38">
              <w:rPr>
                <w:b/>
              </w:rPr>
              <w:t>2</w:t>
            </w:r>
            <w:r>
              <w:rPr>
                <w:b/>
              </w:rPr>
              <w:t xml:space="preserve"> </w:t>
            </w:r>
          </w:p>
        </w:tc>
        <w:tc>
          <w:tcPr>
            <w:tcW w:w="2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C493F" w:rsidP="000C493F" w:rsidRDefault="00361803" w14:paraId="40C6E4C1" w14:textId="77777777">
            <w:pPr>
              <w:spacing w:after="0" w:line="259" w:lineRule="auto"/>
              <w:ind w:left="370"/>
            </w:pPr>
            <w:r>
              <w:t xml:space="preserve">Equality Impact </w:t>
            </w:r>
          </w:p>
          <w:p w:rsidR="0055046A" w:rsidP="00960D4E" w:rsidRDefault="00361803" w14:paraId="03D851EF" w14:noSpellErr="1" w14:textId="0F01B178">
            <w:pPr>
              <w:spacing w:after="0" w:line="259" w:lineRule="auto"/>
              <w:ind w:left="370"/>
              <w:rPr>
                <w:b w:val="1"/>
                <w:bCs w:val="1"/>
                <w:color w:val="FF0000"/>
              </w:rPr>
            </w:pPr>
            <w:r w:rsidR="00361803">
              <w:rPr/>
              <w:t xml:space="preserve">Assessment </w:t>
            </w:r>
          </w:p>
        </w:tc>
        <w:tc>
          <w:tcPr>
            <w:tcW w:w="695" w:type="dxa"/>
            <w:tcBorders>
              <w:top w:val="single" w:color="000000" w:themeColor="text1" w:sz="4" w:space="0"/>
              <w:left w:val="single" w:color="000000" w:themeColor="text1" w:sz="4" w:space="0"/>
              <w:bottom w:val="single" w:color="000000" w:themeColor="text1" w:sz="4" w:space="0"/>
              <w:right w:val="nil"/>
            </w:tcBorders>
            <w:tcMar/>
          </w:tcPr>
          <w:p w:rsidRPr="00F35337" w:rsidR="0055046A" w:rsidRDefault="0055046A" w14:paraId="1CCBF43A" w14:textId="5034CFF9">
            <w:pPr>
              <w:spacing w:after="0" w:line="259" w:lineRule="auto"/>
              <w:ind w:left="108" w:firstLine="0"/>
              <w:rPr>
                <w:b/>
                <w:bCs/>
              </w:rPr>
            </w:pPr>
          </w:p>
        </w:tc>
        <w:tc>
          <w:tcPr>
            <w:tcW w:w="3641" w:type="dxa"/>
            <w:tcBorders>
              <w:top w:val="single" w:color="000000" w:themeColor="text1" w:sz="4" w:space="0"/>
              <w:left w:val="nil"/>
              <w:bottom w:val="single" w:color="000000" w:themeColor="text1" w:sz="4" w:space="0"/>
              <w:right w:val="single" w:color="000000" w:themeColor="text1" w:sz="4" w:space="0"/>
            </w:tcBorders>
            <w:tcMar/>
          </w:tcPr>
          <w:p w:rsidR="0055046A" w:rsidRDefault="0055046A" w14:paraId="5765039A" w14:noSpellErr="1" w14:textId="2B7FB09A">
            <w:pPr>
              <w:spacing w:after="160" w:line="259" w:lineRule="auto"/>
              <w:ind w:left="0" w:firstLine="0"/>
            </w:pPr>
            <w:r w:rsidR="17F4DB73">
              <w:rPr/>
              <w:t>No</w:t>
            </w:r>
          </w:p>
        </w:tc>
      </w:tr>
      <w:tr w:rsidR="4FA168BA" w:rsidTr="4FA168BA" w14:paraId="41CEFC84">
        <w:trPr>
          <w:trHeight w:val="300"/>
        </w:trPr>
        <w:tc>
          <w:tcPr>
            <w:tcW w:w="191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A796633" w:rsidP="4FA168BA" w:rsidRDefault="6A796633" w14:paraId="3BD2F2FB" w14:textId="1171CF41">
            <w:pPr>
              <w:pStyle w:val="Normal"/>
              <w:spacing w:line="259" w:lineRule="auto"/>
              <w:ind w:left="0" w:firstLine="0"/>
              <w:rPr>
                <w:b w:val="1"/>
                <w:bCs w:val="1"/>
              </w:rPr>
            </w:pPr>
            <w:r w:rsidRPr="4FA168BA" w:rsidR="6A796633">
              <w:rPr>
                <w:b w:val="1"/>
                <w:bCs w:val="1"/>
              </w:rPr>
              <w:t xml:space="preserve"> Appendix 3</w:t>
            </w:r>
          </w:p>
        </w:tc>
        <w:tc>
          <w:tcPr>
            <w:tcW w:w="2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6A796633" w:rsidP="4FA168BA" w:rsidRDefault="6A796633" w14:paraId="6D02AA85" w14:textId="374C1CE7">
            <w:pPr>
              <w:pStyle w:val="Normal"/>
              <w:spacing w:line="259" w:lineRule="auto"/>
            </w:pPr>
            <w:r w:rsidR="6A796633">
              <w:rPr/>
              <w:t>Risk Register</w:t>
            </w:r>
          </w:p>
        </w:tc>
        <w:tc>
          <w:tcPr>
            <w:tcW w:w="695" w:type="dxa"/>
            <w:tcBorders>
              <w:top w:val="single" w:color="000000" w:themeColor="text1" w:sz="4" w:space="0"/>
              <w:left w:val="single" w:color="000000" w:themeColor="text1" w:sz="4" w:space="0"/>
              <w:bottom w:val="single" w:color="000000" w:themeColor="text1" w:sz="4" w:space="0"/>
              <w:right w:val="nil"/>
            </w:tcBorders>
            <w:tcMar/>
          </w:tcPr>
          <w:p w:rsidR="6A796633" w:rsidP="4FA168BA" w:rsidRDefault="6A796633" w14:paraId="202A04C1" w14:textId="1322CCDB">
            <w:pPr>
              <w:pStyle w:val="Normal"/>
              <w:spacing w:line="259" w:lineRule="auto"/>
              <w:ind w:left="0" w:firstLine="0"/>
              <w:rPr>
                <w:b w:val="1"/>
                <w:bCs w:val="1"/>
              </w:rPr>
            </w:pPr>
            <w:r w:rsidRPr="4FA168BA" w:rsidR="6A796633">
              <w:rPr>
                <w:b w:val="1"/>
                <w:bCs w:val="1"/>
              </w:rPr>
              <w:t xml:space="preserve"> </w:t>
            </w:r>
            <w:r w:rsidR="6A796633">
              <w:rPr>
                <w:b w:val="0"/>
                <w:bCs w:val="0"/>
              </w:rPr>
              <w:t>No</w:t>
            </w:r>
          </w:p>
        </w:tc>
        <w:tc>
          <w:tcPr>
            <w:tcW w:w="3641" w:type="dxa"/>
            <w:tcBorders>
              <w:top w:val="single" w:color="000000" w:themeColor="text1" w:sz="4" w:space="0"/>
              <w:left w:val="nil"/>
              <w:bottom w:val="single" w:color="000000" w:themeColor="text1" w:sz="4" w:space="0"/>
              <w:right w:val="single" w:color="000000" w:themeColor="text1" w:sz="4" w:space="0"/>
            </w:tcBorders>
            <w:tcMar/>
          </w:tcPr>
          <w:p w:rsidR="4FA168BA" w:rsidP="4FA168BA" w:rsidRDefault="4FA168BA" w14:paraId="44F31C70" w14:textId="7FE7DB71">
            <w:pPr>
              <w:pStyle w:val="Normal"/>
              <w:spacing w:line="259" w:lineRule="auto"/>
              <w:ind w:firstLine="0"/>
            </w:pPr>
          </w:p>
        </w:tc>
      </w:tr>
    </w:tbl>
    <w:p w:rsidR="0055046A" w:rsidRDefault="00361803" w14:paraId="39C45203" w14:textId="77777777">
      <w:pPr>
        <w:spacing w:after="98" w:line="259" w:lineRule="auto"/>
        <w:ind w:left="0" w:firstLine="0"/>
      </w:pPr>
      <w:r>
        <w:t xml:space="preserve"> </w:t>
      </w:r>
    </w:p>
    <w:p w:rsidR="0055046A" w:rsidRDefault="00361803" w14:paraId="3B8B18F4" w14:textId="77777777">
      <w:pPr>
        <w:spacing w:after="0" w:line="259" w:lineRule="auto"/>
        <w:ind w:left="0" w:firstLine="0"/>
      </w:pPr>
      <w:r>
        <w:t xml:space="preserve"> </w:t>
      </w:r>
    </w:p>
    <w:p w:rsidR="005429AD" w:rsidRDefault="005429AD" w14:paraId="3EAD42AD" w14:textId="77777777">
      <w:pPr>
        <w:pStyle w:val="Heading1"/>
        <w:ind w:left="-5"/>
      </w:pPr>
    </w:p>
    <w:p w:rsidR="0055046A" w:rsidRDefault="007C692E" w14:paraId="624916A4" w14:textId="026A2F82">
      <w:pPr>
        <w:pStyle w:val="Heading1"/>
        <w:ind w:left="-5"/>
      </w:pPr>
      <w:r>
        <w:t xml:space="preserve">Introduction and </w:t>
      </w:r>
      <w:r w:rsidR="00DD0E92">
        <w:t>B</w:t>
      </w:r>
      <w:r w:rsidR="00361803">
        <w:t xml:space="preserve">ackground  </w:t>
      </w:r>
    </w:p>
    <w:p w:rsidR="00DD0E92" w:rsidP="007E2A80" w:rsidRDefault="00DD0E92" w14:paraId="12408F52" w14:textId="475F835D" w14:noSpellErr="1">
      <w:pPr>
        <w:numPr>
          <w:ilvl w:val="0"/>
          <w:numId w:val="1"/>
        </w:numPr>
        <w:spacing w:after="0"/>
        <w:ind w:right="707" w:hanging="360"/>
        <w:rPr/>
      </w:pPr>
      <w:r w:rsidR="00DD0E92">
        <w:rPr/>
        <w:t xml:space="preserve">Following the Grenfell tragedy, the Social Housing Regulation Act 2023 sought to strengthen the voice of tenants by setting out clearer expectations of social landlords. The </w:t>
      </w:r>
      <w:bookmarkStart w:name="_Hlk211866883" w:id="0"/>
      <w:r w:rsidRPr="7CA554E9" w:rsidR="00DD0E92">
        <w:rPr>
          <w:i w:val="1"/>
          <w:iCs w:val="1"/>
        </w:rPr>
        <w:t>Transparency, Influence and Accountability Standard</w:t>
      </w:r>
      <w:r w:rsidRPr="7CA554E9" w:rsidR="6D098B8C">
        <w:rPr>
          <w:i w:val="1"/>
          <w:iCs w:val="1"/>
        </w:rPr>
        <w:t xml:space="preserve"> Consumer </w:t>
      </w:r>
      <w:r w:rsidRPr="7CA554E9" w:rsidR="76531B7E">
        <w:rPr>
          <w:i w:val="1"/>
          <w:iCs w:val="1"/>
        </w:rPr>
        <w:t>S</w:t>
      </w:r>
      <w:r w:rsidRPr="7CA554E9" w:rsidR="6D098B8C">
        <w:rPr>
          <w:i w:val="1"/>
          <w:iCs w:val="1"/>
        </w:rPr>
        <w:t>tandards 1 April 2024</w:t>
      </w:r>
      <w:r w:rsidRPr="7CA554E9" w:rsidR="0FFFB4CA">
        <w:rPr>
          <w:i w:val="1"/>
          <w:iCs w:val="1"/>
        </w:rPr>
        <w:t xml:space="preserve"> (“the Transparency, Influence and Accountability Standard”)</w:t>
      </w:r>
      <w:r w:rsidR="00DD0E92">
        <w:rPr/>
        <w:t xml:space="preserve"> </w:t>
      </w:r>
      <w:bookmarkEnd w:id="0"/>
      <w:r w:rsidR="00DD0E92">
        <w:rPr/>
        <w:t xml:space="preserve">requires the landlord to be open with tenants and treat them with fairness and respect so that they can access services, raise </w:t>
      </w:r>
      <w:r w:rsidR="00F35337">
        <w:rPr/>
        <w:t>concerns,</w:t>
      </w:r>
      <w:r w:rsidR="00DD0E92">
        <w:rPr/>
        <w:t xml:space="preserve"> when necessary, influence decision making and hold their landlord to account. </w:t>
      </w:r>
    </w:p>
    <w:p w:rsidR="007E2A80" w:rsidP="007E2A80" w:rsidRDefault="007E2A80" w14:paraId="722D054D" w14:textId="77777777">
      <w:pPr>
        <w:spacing w:after="0"/>
        <w:ind w:left="360" w:right="707" w:firstLine="0"/>
      </w:pPr>
    </w:p>
    <w:p w:rsidR="00DD0E92" w:rsidP="007E2A80" w:rsidRDefault="00DD0E92" w14:paraId="2C62FF70" w14:textId="5819064A">
      <w:pPr>
        <w:numPr>
          <w:ilvl w:val="0"/>
          <w:numId w:val="1"/>
        </w:numPr>
        <w:spacing w:after="0"/>
        <w:ind w:right="707" w:hanging="360"/>
      </w:pPr>
      <w:r>
        <w:t xml:space="preserve">This is essentially a call for a change to a two-way conversation between tenant and landlord – where there is a need to give tenants their voice by providing meaningful engagement opportunities to enable them to influence and scrutinise the Council’s strategies, policies and services, and where the landlord in turn is able to </w:t>
      </w:r>
      <w:r w:rsidR="00C14607">
        <w:t xml:space="preserve">engage and </w:t>
      </w:r>
      <w:r>
        <w:t xml:space="preserve">communicate clearly with tenants. </w:t>
      </w:r>
    </w:p>
    <w:p w:rsidR="007E2A80" w:rsidP="007E2A80" w:rsidRDefault="007E2A80" w14:paraId="3935EAB8" w14:textId="77777777">
      <w:pPr>
        <w:pStyle w:val="ListParagraph"/>
      </w:pPr>
    </w:p>
    <w:p w:rsidR="003434DD" w:rsidP="003434DD" w:rsidRDefault="00DD0E92" w14:paraId="76AE446C" w14:noSpellErr="1" w14:textId="370AD6DE">
      <w:pPr>
        <w:numPr>
          <w:ilvl w:val="0"/>
          <w:numId w:val="1"/>
        </w:numPr>
        <w:spacing w:after="0"/>
        <w:ind w:right="707" w:hanging="360"/>
        <w:rPr/>
      </w:pPr>
      <w:r w:rsidR="00DD0E92">
        <w:rPr/>
        <w:t>In Dec</w:t>
      </w:r>
      <w:r w:rsidR="7C285E3B">
        <w:rPr/>
        <w:t>ember</w:t>
      </w:r>
      <w:r w:rsidR="00DD0E92">
        <w:rPr/>
        <w:t xml:space="preserve"> 2024, Cabinet considered and approved a </w:t>
      </w:r>
      <w:r w:rsidR="0012206C">
        <w:rPr/>
        <w:t>proposed change of resident engagement approach in principle, subject to consultation with residents</w:t>
      </w:r>
      <w:r w:rsidR="007C692E">
        <w:rPr/>
        <w:t>.</w:t>
      </w:r>
      <w:r w:rsidR="00DD0E92">
        <w:rPr/>
        <w:t xml:space="preserve">  </w:t>
      </w:r>
      <w:r w:rsidR="007C692E">
        <w:rPr/>
        <w:t xml:space="preserve">In taking this forward, a series of </w:t>
      </w:r>
      <w:r w:rsidR="00DD0E92">
        <w:rPr/>
        <w:t>engagement events</w:t>
      </w:r>
      <w:r w:rsidR="00DD0E92">
        <w:rPr/>
        <w:t xml:space="preserve"> </w:t>
      </w:r>
      <w:r w:rsidR="007C692E">
        <w:rPr/>
        <w:t>were held during the spring and summer</w:t>
      </w:r>
      <w:r w:rsidR="00F35337">
        <w:rPr/>
        <w:t xml:space="preserve"> of 2025</w:t>
      </w:r>
      <w:r w:rsidR="007C692E">
        <w:rPr/>
        <w:t xml:space="preserve"> where</w:t>
      </w:r>
      <w:r w:rsidR="00DD0E92">
        <w:rPr/>
        <w:t xml:space="preserve"> residents were</w:t>
      </w:r>
      <w:r w:rsidR="0012206C">
        <w:rPr/>
        <w:t xml:space="preserve"> </w:t>
      </w:r>
      <w:r w:rsidR="00DD0E92">
        <w:rPr/>
        <w:t>consulted on the proposed engagement changes</w:t>
      </w:r>
      <w:r w:rsidR="00DD0E92">
        <w:rPr/>
        <w:t xml:space="preserve">.  </w:t>
      </w:r>
      <w:r w:rsidR="0012206C">
        <w:rPr/>
        <w:t>Overall</w:t>
      </w:r>
      <w:r w:rsidR="007C692E">
        <w:rPr/>
        <w:t>,</w:t>
      </w:r>
      <w:r w:rsidR="0012206C">
        <w:rPr/>
        <w:t xml:space="preserve"> the proposed changes </w:t>
      </w:r>
      <w:r w:rsidR="00DD0E92">
        <w:rPr/>
        <w:t>were</w:t>
      </w:r>
      <w:r w:rsidR="0012206C">
        <w:rPr/>
        <w:t xml:space="preserve"> supported by </w:t>
      </w:r>
      <w:r w:rsidR="00DA0998">
        <w:rPr/>
        <w:t xml:space="preserve">over 400 </w:t>
      </w:r>
      <w:r w:rsidR="0012206C">
        <w:rPr/>
        <w:t>residents</w:t>
      </w:r>
      <w:r w:rsidR="00DA0998">
        <w:rPr/>
        <w:t xml:space="preserve"> who </w:t>
      </w:r>
      <w:r w:rsidR="00DA0998">
        <w:rPr/>
        <w:t>participated</w:t>
      </w:r>
      <w:r w:rsidR="0012206C">
        <w:rPr/>
        <w:t xml:space="preserve"> </w:t>
      </w:r>
      <w:r w:rsidR="007C692E">
        <w:rPr/>
        <w:t xml:space="preserve">and this in turn has enabled the development of a new Resident Involvement </w:t>
      </w:r>
      <w:r w:rsidR="004E74F4">
        <w:rPr/>
        <w:t xml:space="preserve">and Engagement </w:t>
      </w:r>
      <w:r w:rsidR="007C692E">
        <w:rPr/>
        <w:t xml:space="preserve">Strategy </w:t>
      </w:r>
      <w:r w:rsidRPr="7CA554E9" w:rsidR="007C692E">
        <w:rPr>
          <w:color w:val="000000" w:themeColor="text1" w:themeTint="FF" w:themeShade="FF"/>
        </w:rPr>
        <w:t xml:space="preserve">for the next </w:t>
      </w:r>
      <w:r w:rsidRPr="7CA554E9" w:rsidR="004E74F4">
        <w:rPr>
          <w:color w:val="000000" w:themeColor="text1" w:themeTint="FF" w:themeShade="FF"/>
        </w:rPr>
        <w:t xml:space="preserve">three </w:t>
      </w:r>
      <w:r w:rsidRPr="7CA554E9" w:rsidR="6F4C7831">
        <w:rPr>
          <w:color w:val="000000" w:themeColor="text1" w:themeTint="FF" w:themeShade="FF"/>
        </w:rPr>
        <w:t>years and</w:t>
      </w:r>
      <w:r w:rsidRPr="7CA554E9" w:rsidR="710BFD72">
        <w:rPr>
          <w:color w:val="000000" w:themeColor="text1" w:themeTint="FF" w:themeShade="FF"/>
        </w:rPr>
        <w:t xml:space="preserve"> </w:t>
      </w:r>
      <w:r w:rsidRPr="7CA554E9" w:rsidR="49F0881F">
        <w:rPr>
          <w:color w:val="000000" w:themeColor="text1" w:themeTint="FF" w:themeShade="FF"/>
        </w:rPr>
        <w:t>is attached</w:t>
      </w:r>
      <w:r w:rsidRPr="7CA554E9" w:rsidR="78516185">
        <w:rPr>
          <w:color w:val="000000" w:themeColor="text1" w:themeTint="FF" w:themeShade="FF"/>
        </w:rPr>
        <w:t xml:space="preserve"> </w:t>
      </w:r>
      <w:r w:rsidRPr="7CA554E9" w:rsidR="60847720">
        <w:rPr>
          <w:color w:val="000000" w:themeColor="text1" w:themeTint="FF" w:themeShade="FF"/>
        </w:rPr>
        <w:t xml:space="preserve">in </w:t>
      </w:r>
      <w:r w:rsidRPr="7CA554E9" w:rsidR="78516185">
        <w:rPr>
          <w:b w:val="1"/>
          <w:bCs w:val="1"/>
          <w:color w:val="000000" w:themeColor="text1" w:themeTint="FF" w:themeShade="FF"/>
        </w:rPr>
        <w:t>Appendix 1</w:t>
      </w:r>
      <w:r w:rsidRPr="7CA554E9" w:rsidR="78516185">
        <w:rPr>
          <w:color w:val="000000" w:themeColor="text1" w:themeTint="FF" w:themeShade="FF"/>
        </w:rPr>
        <w:t>.</w:t>
      </w:r>
      <w:r w:rsidR="007C692E">
        <w:rPr/>
        <w:t xml:space="preserve">  </w:t>
      </w:r>
    </w:p>
    <w:p w:rsidR="003434DD" w:rsidP="00C45767" w:rsidRDefault="003434DD" w14:paraId="0F4754BB" w14:textId="77777777">
      <w:pPr>
        <w:pStyle w:val="NoSpacing"/>
      </w:pPr>
    </w:p>
    <w:p w:rsidR="003434DD" w:rsidP="003434DD" w:rsidRDefault="00D32B95" w14:paraId="321CA088" w14:noSpellErr="1" w14:textId="26E58369">
      <w:pPr>
        <w:numPr>
          <w:ilvl w:val="0"/>
          <w:numId w:val="1"/>
        </w:numPr>
        <w:spacing w:after="0"/>
        <w:ind w:right="707" w:hanging="360"/>
        <w:rPr/>
      </w:pPr>
      <w:r w:rsidR="00D32B95">
        <w:rPr/>
        <w:t xml:space="preserve">The Resident </w:t>
      </w:r>
      <w:r w:rsidR="000626FA">
        <w:rPr/>
        <w:t xml:space="preserve">Involvement and </w:t>
      </w:r>
      <w:r w:rsidR="00D32B95">
        <w:rPr/>
        <w:t>Engagement Strategy 202</w:t>
      </w:r>
      <w:r w:rsidR="00344D28">
        <w:rPr/>
        <w:t>5/</w:t>
      </w:r>
      <w:r w:rsidR="00D32B95">
        <w:rPr/>
        <w:t>2</w:t>
      </w:r>
      <w:r w:rsidR="000626FA">
        <w:rPr/>
        <w:t>8</w:t>
      </w:r>
      <w:r w:rsidR="00D32B95">
        <w:rPr/>
        <w:t xml:space="preserve"> </w:t>
      </w:r>
      <w:r w:rsidR="000626FA">
        <w:rPr/>
        <w:t xml:space="preserve">and related action plan </w:t>
      </w:r>
      <w:r w:rsidR="00D32B95">
        <w:rPr/>
        <w:t>sets</w:t>
      </w:r>
      <w:r w:rsidR="00D32B95">
        <w:rPr/>
        <w:t xml:space="preserve"> out how the Council will </w:t>
      </w:r>
      <w:r w:rsidR="00AA730F">
        <w:rPr/>
        <w:t xml:space="preserve">look to improve resident engagement and meet its landlord obligations required by </w:t>
      </w:r>
      <w:r w:rsidRPr="43AFC186" w:rsidR="00AA730F">
        <w:rPr>
          <w:i w:val="1"/>
          <w:iCs w:val="1"/>
        </w:rPr>
        <w:t xml:space="preserve">Transparency, Influence and </w:t>
      </w:r>
      <w:r w:rsidRPr="43AFC186" w:rsidR="00AA730F">
        <w:rPr>
          <w:i w:val="1"/>
          <w:iCs w:val="1"/>
        </w:rPr>
        <w:t xml:space="preserve">Accountability </w:t>
      </w:r>
      <w:r w:rsidRPr="43AFC186" w:rsidR="00AA730F">
        <w:rPr>
          <w:i w:val="1"/>
          <w:iCs w:val="1"/>
        </w:rPr>
        <w:t xml:space="preserve"> </w:t>
      </w:r>
      <w:r w:rsidRPr="43AFC186" w:rsidR="00AA730F">
        <w:rPr>
          <w:i w:val="1"/>
          <w:iCs w:val="1"/>
        </w:rPr>
        <w:t>Standard</w:t>
      </w:r>
      <w:r w:rsidRPr="43AFC186" w:rsidR="00AA730F">
        <w:rPr>
          <w:i w:val="1"/>
          <w:iCs w:val="1"/>
        </w:rPr>
        <w:t>.</w:t>
      </w:r>
      <w:r w:rsidR="00AA730F">
        <w:rPr/>
        <w:t xml:space="preserve"> </w:t>
      </w:r>
      <w:r w:rsidR="00391315">
        <w:rPr/>
        <w:t xml:space="preserve"> </w:t>
      </w:r>
      <w:r w:rsidR="00391315">
        <w:rPr/>
        <w:t xml:space="preserve">The strategy recognises the changing landscape </w:t>
      </w:r>
      <w:r w:rsidR="0018611D">
        <w:rPr/>
        <w:t xml:space="preserve">and need for stepping up efforts </w:t>
      </w:r>
      <w:r w:rsidR="0010776B">
        <w:rPr/>
        <w:t xml:space="preserve">to improve resident engagement ensuring </w:t>
      </w:r>
      <w:r w:rsidR="00077543">
        <w:rPr/>
        <w:t>that residents</w:t>
      </w:r>
      <w:r w:rsidRPr="43AFC186" w:rsidR="0010776B">
        <w:rPr>
          <w:i w:val="1"/>
          <w:iCs w:val="1"/>
        </w:rPr>
        <w:t xml:space="preserve"> </w:t>
      </w:r>
      <w:r w:rsidRPr="43AFC186" w:rsidR="14879787">
        <w:rPr>
          <w:i w:val="0"/>
          <w:iCs w:val="0"/>
        </w:rPr>
        <w:t>voice forms</w:t>
      </w:r>
      <w:r w:rsidR="00F62C96">
        <w:rPr/>
        <w:t xml:space="preserve"> part of service</w:t>
      </w:r>
      <w:r w:rsidR="00273CD1">
        <w:rPr/>
        <w:t xml:space="preserve"> delivery and that meaningful engagement platforms </w:t>
      </w:r>
      <w:r w:rsidR="004D0A2D">
        <w:rPr/>
        <w:t xml:space="preserve">and support </w:t>
      </w:r>
      <w:r w:rsidR="00273CD1">
        <w:rPr/>
        <w:t>are in place</w:t>
      </w:r>
      <w:r w:rsidR="00A540DE">
        <w:rPr/>
        <w:t xml:space="preserve">.  </w:t>
      </w:r>
      <w:r w:rsidR="00A540DE">
        <w:rPr/>
        <w:t xml:space="preserve">This approach </w:t>
      </w:r>
      <w:r w:rsidR="00C14607">
        <w:rPr/>
        <w:t>will</w:t>
      </w:r>
      <w:r w:rsidR="00A540DE">
        <w:rPr/>
        <w:t xml:space="preserve"> enable </w:t>
      </w:r>
      <w:r w:rsidR="00273CD1">
        <w:rPr/>
        <w:t xml:space="preserve">residents </w:t>
      </w:r>
      <w:r w:rsidR="004D0A2D">
        <w:rPr/>
        <w:t>to</w:t>
      </w:r>
      <w:r w:rsidR="00A540DE">
        <w:rPr/>
        <w:t xml:space="preserve"> have better opportunities to</w:t>
      </w:r>
      <w:r w:rsidR="004D0A2D">
        <w:rPr/>
        <w:t xml:space="preserve"> influence, help shape and scrutinise the quality and delivery of service</w:t>
      </w:r>
      <w:r w:rsidR="004E7211">
        <w:rPr/>
        <w:t>s they receive</w:t>
      </w:r>
      <w:r w:rsidR="004E7211">
        <w:rPr/>
        <w:t xml:space="preserve">.  </w:t>
      </w:r>
      <w:r w:rsidR="00093526">
        <w:rPr/>
        <w:t xml:space="preserve">The </w:t>
      </w:r>
      <w:r w:rsidR="00D32B95">
        <w:rPr/>
        <w:t>strategy</w:t>
      </w:r>
      <w:r w:rsidR="00093526">
        <w:rPr/>
        <w:t xml:space="preserve"> </w:t>
      </w:r>
      <w:r w:rsidR="004E7211">
        <w:rPr/>
        <w:t xml:space="preserve">also </w:t>
      </w:r>
      <w:r w:rsidR="00093526">
        <w:rPr/>
        <w:t>signals</w:t>
      </w:r>
      <w:r w:rsidR="00D32B95">
        <w:rPr/>
        <w:t xml:space="preserve"> a clear approach and cohesive direction of travel</w:t>
      </w:r>
      <w:r w:rsidR="00716B08">
        <w:rPr/>
        <w:t xml:space="preserve"> on resetting resident </w:t>
      </w:r>
      <w:r w:rsidR="000A1A87">
        <w:rPr/>
        <w:t>engagement</w:t>
      </w:r>
      <w:r w:rsidR="006E37D5">
        <w:rPr/>
        <w:t xml:space="preserve"> </w:t>
      </w:r>
      <w:r w:rsidR="00D15682">
        <w:rPr/>
        <w:t xml:space="preserve">through an improved resident </w:t>
      </w:r>
      <w:r w:rsidR="00FF2F2E">
        <w:rPr/>
        <w:t xml:space="preserve">involvement and </w:t>
      </w:r>
      <w:r w:rsidR="00F173E9">
        <w:rPr/>
        <w:t>engagement offer</w:t>
      </w:r>
      <w:r w:rsidR="000E174B">
        <w:rPr/>
        <w:t xml:space="preserve"> which involves</w:t>
      </w:r>
      <w:r w:rsidR="000E174B">
        <w:rPr/>
        <w:t xml:space="preserve"> </w:t>
      </w:r>
      <w:r w:rsidR="000E174B">
        <w:rPr/>
        <w:t xml:space="preserve">formal and informal engagement structures. </w:t>
      </w:r>
      <w:r w:rsidR="00D32B95">
        <w:rPr/>
        <w:t>It sets out the plans for</w:t>
      </w:r>
      <w:r w:rsidR="00655F1E">
        <w:rPr/>
        <w:t xml:space="preserve"> pursuing the </w:t>
      </w:r>
      <w:r w:rsidRPr="43AFC186" w:rsidR="00655F1E">
        <w:rPr>
          <w:i w:val="1"/>
          <w:iCs w:val="1"/>
        </w:rPr>
        <w:t>knowing our tenants</w:t>
      </w:r>
      <w:r w:rsidR="00DC2FB4">
        <w:rPr/>
        <w:t xml:space="preserve"> programme</w:t>
      </w:r>
      <w:r w:rsidR="00313F1E">
        <w:rPr/>
        <w:t xml:space="preserve"> and using this data to </w:t>
      </w:r>
      <w:r w:rsidR="00DA4332">
        <w:rPr/>
        <w:t>increase resident</w:t>
      </w:r>
      <w:r w:rsidR="00FF2F2E">
        <w:rPr/>
        <w:t xml:space="preserve"> involvement and</w:t>
      </w:r>
      <w:r w:rsidR="00DA4332">
        <w:rPr/>
        <w:t xml:space="preserve"> </w:t>
      </w:r>
      <w:r w:rsidR="00600668">
        <w:rPr/>
        <w:t>engagement</w:t>
      </w:r>
      <w:r w:rsidR="00C14607">
        <w:rPr/>
        <w:t xml:space="preserve"> </w:t>
      </w:r>
      <w:r w:rsidR="00313F1E">
        <w:rPr/>
        <w:t>and deliver better services that better meets t</w:t>
      </w:r>
      <w:r w:rsidR="00C14607">
        <w:rPr/>
        <w:t>he needs of residents.</w:t>
      </w:r>
      <w:r w:rsidR="00947DB5">
        <w:rPr/>
        <w:t xml:space="preserve"> </w:t>
      </w:r>
    </w:p>
    <w:p w:rsidR="00C45767" w:rsidP="00C45767" w:rsidRDefault="00C45767" w14:paraId="1B7F141F" w14:textId="77777777">
      <w:pPr>
        <w:pStyle w:val="NoSpacing"/>
      </w:pPr>
    </w:p>
    <w:p w:rsidRPr="00DB2CB0" w:rsidR="00DA0998" w:rsidP="007E2A80" w:rsidRDefault="00DA0998" w14:paraId="52DF8656" w14:textId="5A71649F">
      <w:pPr>
        <w:numPr>
          <w:ilvl w:val="0"/>
          <w:numId w:val="1"/>
        </w:numPr>
        <w:shd w:val="clear" w:color="auto" w:fill="FFFFFF"/>
        <w:spacing w:after="0" w:line="240" w:lineRule="auto"/>
        <w:rPr>
          <w:rFonts w:eastAsia="Times New Roman"/>
          <w:color w:val="000000" w:themeColor="text1"/>
          <w:kern w:val="0"/>
          <w14:ligatures w14:val="none"/>
        </w:rPr>
      </w:pPr>
      <w:r w:rsidRPr="00DA0998">
        <w:rPr>
          <w:rFonts w:eastAsia="Times New Roman"/>
          <w:color w:val="000000" w:themeColor="text1"/>
          <w:kern w:val="0"/>
          <w14:ligatures w14:val="none"/>
        </w:rPr>
        <w:t>The R</w:t>
      </w:r>
      <w:r w:rsidRPr="00DB2CB0" w:rsidR="00DB2CB0">
        <w:rPr>
          <w:rFonts w:eastAsia="Times New Roman"/>
          <w:color w:val="000000" w:themeColor="text1"/>
          <w:kern w:val="0"/>
          <w14:ligatures w14:val="none"/>
        </w:rPr>
        <w:t xml:space="preserve">egulator of </w:t>
      </w:r>
      <w:r w:rsidRPr="00DA0998">
        <w:rPr>
          <w:rFonts w:eastAsia="Times New Roman"/>
          <w:color w:val="000000" w:themeColor="text1"/>
          <w:kern w:val="0"/>
          <w14:ligatures w14:val="none"/>
        </w:rPr>
        <w:t>S</w:t>
      </w:r>
      <w:r w:rsidRPr="00DB2CB0" w:rsidR="00DB2CB0">
        <w:rPr>
          <w:rFonts w:eastAsia="Times New Roman"/>
          <w:color w:val="000000" w:themeColor="text1"/>
          <w:kern w:val="0"/>
          <w14:ligatures w14:val="none"/>
        </w:rPr>
        <w:t xml:space="preserve">ocial </w:t>
      </w:r>
      <w:r w:rsidRPr="00DA0998">
        <w:rPr>
          <w:rFonts w:eastAsia="Times New Roman"/>
          <w:color w:val="000000" w:themeColor="text1"/>
          <w:kern w:val="0"/>
          <w14:ligatures w14:val="none"/>
        </w:rPr>
        <w:t>H</w:t>
      </w:r>
      <w:r w:rsidRPr="00DB2CB0" w:rsidR="00DB2CB0">
        <w:rPr>
          <w:rFonts w:eastAsia="Times New Roman"/>
          <w:color w:val="000000" w:themeColor="text1"/>
          <w:kern w:val="0"/>
          <w14:ligatures w14:val="none"/>
        </w:rPr>
        <w:t>ousing (RSH)</w:t>
      </w:r>
      <w:r w:rsidRPr="00DA0998">
        <w:rPr>
          <w:rFonts w:eastAsia="Times New Roman"/>
          <w:color w:val="000000" w:themeColor="text1"/>
          <w:kern w:val="0"/>
          <w14:ligatures w14:val="none"/>
        </w:rPr>
        <w:t xml:space="preserve"> considers resident engagement a core part of its regulatory requirements under the new </w:t>
      </w:r>
      <w:r w:rsidRPr="00DA0998">
        <w:rPr>
          <w:rFonts w:eastAsia="Times New Roman"/>
          <w:i/>
          <w:iCs/>
          <w:color w:val="000000" w:themeColor="text1"/>
          <w:kern w:val="0"/>
          <w14:ligatures w14:val="none"/>
        </w:rPr>
        <w:t>Transparency, Influence and Accountability Standard</w:t>
      </w:r>
      <w:r w:rsidRPr="00DA0998">
        <w:rPr>
          <w:rFonts w:eastAsia="Times New Roman"/>
          <w:color w:val="000000" w:themeColor="text1"/>
          <w:kern w:val="0"/>
          <w14:ligatures w14:val="none"/>
        </w:rPr>
        <w:t>.</w:t>
      </w:r>
      <w:r w:rsidRPr="00DB2CB0">
        <w:rPr>
          <w:rFonts w:eastAsia="Times New Roman"/>
          <w:color w:val="000000" w:themeColor="text1"/>
          <w:kern w:val="0"/>
          <w14:ligatures w14:val="none"/>
        </w:rPr>
        <w:t xml:space="preserve">  </w:t>
      </w:r>
      <w:r w:rsidRPr="00DA0998">
        <w:rPr>
          <w:rFonts w:eastAsia="Times New Roman"/>
          <w:color w:val="000000" w:themeColor="text1"/>
          <w:kern w:val="0"/>
          <w14:ligatures w14:val="none"/>
        </w:rPr>
        <w:t>It expects social landlords to demonstrate how they are working with residents on issues that matter to them, allowing participation at all levels and stages.</w:t>
      </w:r>
      <w:r w:rsidRPr="00DB2CB0">
        <w:rPr>
          <w:rFonts w:eastAsia="Times New Roman"/>
          <w:color w:val="000000" w:themeColor="text1"/>
          <w:kern w:val="0"/>
          <w14:ligatures w14:val="none"/>
        </w:rPr>
        <w:t xml:space="preserve"> </w:t>
      </w:r>
      <w:r w:rsidR="00F35337">
        <w:rPr>
          <w:rFonts w:eastAsia="Times New Roman"/>
          <w:color w:val="000000" w:themeColor="text1"/>
          <w:kern w:val="0"/>
          <w14:ligatures w14:val="none"/>
        </w:rPr>
        <w:t xml:space="preserve">It also expects that </w:t>
      </w:r>
      <w:r w:rsidRPr="00DA0998">
        <w:rPr>
          <w:rFonts w:eastAsia="Times New Roman"/>
          <w:color w:val="000000" w:themeColor="text1"/>
          <w:kern w:val="0"/>
          <w14:ligatures w14:val="none"/>
        </w:rPr>
        <w:t xml:space="preserve">Landlords </w:t>
      </w:r>
      <w:r w:rsidR="00F35337">
        <w:rPr>
          <w:rFonts w:eastAsia="Times New Roman"/>
          <w:color w:val="000000" w:themeColor="text1"/>
          <w:kern w:val="0"/>
          <w14:ligatures w14:val="none"/>
        </w:rPr>
        <w:t>should be able</w:t>
      </w:r>
      <w:r w:rsidRPr="00DA0998">
        <w:rPr>
          <w:rFonts w:eastAsia="Times New Roman"/>
          <w:color w:val="000000" w:themeColor="text1"/>
          <w:kern w:val="0"/>
          <w14:ligatures w14:val="none"/>
        </w:rPr>
        <w:t xml:space="preserve"> to show how they are communicating and working with residents throughout the engagement proces</w:t>
      </w:r>
      <w:r w:rsidRPr="00DB2CB0" w:rsidR="00DB2CB0">
        <w:rPr>
          <w:rFonts w:eastAsia="Times New Roman"/>
          <w:color w:val="000000" w:themeColor="text1"/>
          <w:kern w:val="0"/>
          <w14:ligatures w14:val="none"/>
        </w:rPr>
        <w:t>s.  This strategy seeks to support Oxford City Council in meeting th</w:t>
      </w:r>
      <w:r w:rsidR="00F35337">
        <w:rPr>
          <w:rFonts w:eastAsia="Times New Roman"/>
          <w:color w:val="000000" w:themeColor="text1"/>
          <w:kern w:val="0"/>
          <w14:ligatures w14:val="none"/>
        </w:rPr>
        <w:t>ose</w:t>
      </w:r>
      <w:r w:rsidRPr="00DB2CB0" w:rsidR="00DB2CB0">
        <w:rPr>
          <w:rFonts w:eastAsia="Times New Roman"/>
          <w:color w:val="000000" w:themeColor="text1"/>
          <w:kern w:val="0"/>
          <w14:ligatures w14:val="none"/>
        </w:rPr>
        <w:t xml:space="preserve"> requirement</w:t>
      </w:r>
      <w:r w:rsidR="00E40798">
        <w:rPr>
          <w:rFonts w:eastAsia="Times New Roman"/>
          <w:color w:val="000000" w:themeColor="text1"/>
          <w:kern w:val="0"/>
          <w14:ligatures w14:val="none"/>
        </w:rPr>
        <w:t>s</w:t>
      </w:r>
      <w:r w:rsidRPr="00DB2CB0" w:rsidR="00DB2CB0">
        <w:rPr>
          <w:rFonts w:eastAsia="Times New Roman"/>
          <w:color w:val="000000" w:themeColor="text1"/>
          <w:kern w:val="0"/>
          <w14:ligatures w14:val="none"/>
        </w:rPr>
        <w:t xml:space="preserve">. </w:t>
      </w:r>
    </w:p>
    <w:p w:rsidR="00BC6832" w:rsidP="00960D4E" w:rsidRDefault="00BC6832" w14:paraId="2D8CD27E" w14:noSpellErr="1" w14:textId="7936E0C3">
      <w:pPr>
        <w:pStyle w:val="Normal"/>
        <w:shd w:val="clear" w:color="auto" w:fill="FFFFFF" w:themeFill="background1"/>
        <w:spacing w:after="0" w:line="240" w:lineRule="auto"/>
        <w:ind w:left="360" w:firstLine="0"/>
        <w:rPr>
          <w:rFonts w:eastAsia="Times New Roman"/>
          <w:color w:val="000000" w:themeColor="text1" w:themeTint="FF" w:themeShade="FF"/>
        </w:rPr>
      </w:pPr>
    </w:p>
    <w:p w:rsidR="007C692E" w:rsidP="002B4178" w:rsidRDefault="0012206C" w14:paraId="0E537CCD" w14:noSpellErr="1" w14:textId="31BB8D42">
      <w:pPr>
        <w:numPr>
          <w:ilvl w:val="0"/>
          <w:numId w:val="1"/>
        </w:numPr>
        <w:spacing w:after="0"/>
        <w:ind w:right="707" w:hanging="360"/>
        <w:rPr/>
      </w:pPr>
      <w:r w:rsidR="0012206C">
        <w:rPr/>
        <w:t>Cabinet approval</w:t>
      </w:r>
      <w:r w:rsidR="36E12409">
        <w:rPr/>
        <w:t xml:space="preserve"> and recommendation to Council</w:t>
      </w:r>
      <w:r w:rsidR="0012206C">
        <w:rPr/>
        <w:t xml:space="preserve"> is</w:t>
      </w:r>
      <w:r w:rsidR="00D75A42">
        <w:rPr/>
        <w:t xml:space="preserve"> therefore</w:t>
      </w:r>
      <w:r w:rsidR="0012206C">
        <w:rPr/>
        <w:t xml:space="preserve"> now </w:t>
      </w:r>
      <w:r w:rsidR="0012206C">
        <w:rPr/>
        <w:t>sought</w:t>
      </w:r>
      <w:r w:rsidR="007C692E">
        <w:rPr/>
        <w:t xml:space="preserve"> </w:t>
      </w:r>
      <w:r w:rsidR="00F35337">
        <w:rPr/>
        <w:t xml:space="preserve">for the new strategy </w:t>
      </w:r>
      <w:r w:rsidR="009403B3">
        <w:rPr/>
        <w:t>that will</w:t>
      </w:r>
      <w:r w:rsidR="00DF27FC">
        <w:rPr/>
        <w:t xml:space="preserve"> enable the continuation</w:t>
      </w:r>
      <w:r w:rsidR="00D75A42">
        <w:rPr/>
        <w:t xml:space="preserve"> of </w:t>
      </w:r>
      <w:r w:rsidR="007C692E">
        <w:rPr/>
        <w:t>communication</w:t>
      </w:r>
      <w:r w:rsidR="00D75A42">
        <w:rPr/>
        <w:t xml:space="preserve"> and engagement with </w:t>
      </w:r>
      <w:r w:rsidR="007C692E">
        <w:rPr/>
        <w:t xml:space="preserve">residents </w:t>
      </w:r>
      <w:r w:rsidR="00D75A42">
        <w:rPr/>
        <w:t xml:space="preserve">to jointly take forward the </w:t>
      </w:r>
      <w:r w:rsidR="00DA0998">
        <w:rPr/>
        <w:t xml:space="preserve">strategic priorities and </w:t>
      </w:r>
      <w:r w:rsidR="00D75A42">
        <w:rPr/>
        <w:t>action plan</w:t>
      </w:r>
      <w:r w:rsidR="00F35337">
        <w:rPr/>
        <w:t xml:space="preserve"> contained within the strategy</w:t>
      </w:r>
      <w:r w:rsidR="002B4178">
        <w:rPr/>
        <w:t>.</w:t>
      </w:r>
      <w:r w:rsidRPr="00960D4E" w:rsidR="00F35337">
        <w:rPr>
          <w:i w:val="1"/>
          <w:iCs w:val="1"/>
        </w:rPr>
        <w:t xml:space="preserve"> </w:t>
      </w:r>
    </w:p>
    <w:p w:rsidR="00F35337" w:rsidRDefault="00F35337" w14:paraId="0EE41F7D" w14:textId="77777777">
      <w:pPr>
        <w:pStyle w:val="Heading1"/>
        <w:ind w:left="-5"/>
      </w:pPr>
    </w:p>
    <w:p w:rsidR="0055046A" w:rsidRDefault="007E2A80" w14:paraId="2813BDDB" w14:textId="23E009DF">
      <w:pPr>
        <w:pStyle w:val="Heading1"/>
        <w:ind w:left="-5"/>
      </w:pPr>
      <w:r>
        <w:t xml:space="preserve">Transforming resident engagement and involvement </w:t>
      </w:r>
    </w:p>
    <w:p w:rsidRPr="0043369C" w:rsidR="00CA1644" w:rsidRDefault="007E2A80" w14:paraId="6A292251" w14:textId="4AA69BDC">
      <w:pPr>
        <w:numPr>
          <w:ilvl w:val="0"/>
          <w:numId w:val="2"/>
        </w:numPr>
        <w:ind w:right="707" w:hanging="360"/>
      </w:pPr>
      <w:r w:rsidRPr="0043369C">
        <w:t>OCC is a landlord managing a substantial social housing portfolio, comprising over 8,000 properties. These homes provide accommodation to approximately 24,000 residents across the city.</w:t>
      </w:r>
      <w:r w:rsidRPr="0043369C" w:rsidR="00CA1644">
        <w:t xml:space="preserve">  Within this, it is facing major radical changes arising from </w:t>
      </w:r>
      <w:r w:rsidRPr="0043369C" w:rsidR="00CA1644">
        <w:rPr>
          <w:color w:val="001D35"/>
          <w:shd w:val="clear" w:color="auto" w:fill="FFFFFF"/>
        </w:rPr>
        <w:t>stricter government regulation and enforcement to improve safety, transparency, and standards for</w:t>
      </w:r>
      <w:r w:rsidR="00C14607">
        <w:rPr>
          <w:color w:val="001D35"/>
          <w:shd w:val="clear" w:color="auto" w:fill="FFFFFF"/>
        </w:rPr>
        <w:t xml:space="preserve"> residents</w:t>
      </w:r>
      <w:r w:rsidRPr="0043369C" w:rsidR="00CA1644">
        <w:rPr>
          <w:color w:val="001D35"/>
          <w:shd w:val="clear" w:color="auto" w:fill="FFFFFF"/>
        </w:rPr>
        <w:t xml:space="preserve">. To ensure compliance a new Social Housing Regulator (SHR) has been established with powers to proactively inspect landlords, through </w:t>
      </w:r>
      <w:r w:rsidRPr="0043369C" w:rsidR="00AC4377">
        <w:rPr>
          <w:color w:val="001D35"/>
          <w:shd w:val="clear" w:color="auto" w:fill="FFFFFF"/>
        </w:rPr>
        <w:t>a set</w:t>
      </w:r>
      <w:r w:rsidRPr="0043369C" w:rsidR="00CA76F0">
        <w:rPr>
          <w:color w:val="001D35"/>
          <w:shd w:val="clear" w:color="auto" w:fill="FFFFFF"/>
        </w:rPr>
        <w:t xml:space="preserve"> of four Consumer Standards </w:t>
      </w:r>
      <w:r w:rsidRPr="0043369C" w:rsidR="00CA76F0">
        <w:rPr>
          <w:i/>
          <w:iCs/>
          <w:color w:val="001D35"/>
          <w:shd w:val="clear" w:color="auto" w:fill="FFFFFF"/>
        </w:rPr>
        <w:t xml:space="preserve">(1. Safety and Quality, 2. Tenancy, 3. Neighbourhood and Community and 4. </w:t>
      </w:r>
      <w:r w:rsidRPr="0043369C" w:rsidR="00CA76F0">
        <w:rPr>
          <w:i/>
          <w:iCs/>
        </w:rPr>
        <w:t xml:space="preserve">Transparency, Influence and Accountability </w:t>
      </w:r>
      <w:r w:rsidRPr="0043369C" w:rsidR="00AC4377">
        <w:rPr>
          <w:i/>
          <w:iCs/>
        </w:rPr>
        <w:t>Standard)</w:t>
      </w:r>
      <w:r w:rsidRPr="0043369C" w:rsidR="00AC4377">
        <w:rPr>
          <w:i/>
          <w:iCs/>
          <w:color w:val="001D35"/>
          <w:shd w:val="clear" w:color="auto" w:fill="FFFFFF"/>
        </w:rPr>
        <w:t xml:space="preserve"> </w:t>
      </w:r>
      <w:r w:rsidRPr="0043369C" w:rsidR="00CA76F0">
        <w:rPr>
          <w:color w:val="001D35"/>
          <w:shd w:val="clear" w:color="auto" w:fill="FFFFFF"/>
        </w:rPr>
        <w:t xml:space="preserve">together </w:t>
      </w:r>
      <w:r w:rsidR="006324BA">
        <w:rPr>
          <w:color w:val="001D35"/>
          <w:shd w:val="clear" w:color="auto" w:fill="FFFFFF"/>
        </w:rPr>
        <w:t xml:space="preserve">these </w:t>
      </w:r>
      <w:r w:rsidRPr="0043369C" w:rsidR="00CA76F0">
        <w:rPr>
          <w:color w:val="001D35"/>
          <w:shd w:val="clear" w:color="auto" w:fill="FFFFFF"/>
        </w:rPr>
        <w:t xml:space="preserve">make up a </w:t>
      </w:r>
      <w:r w:rsidRPr="0043369C" w:rsidR="00CA1644">
        <w:rPr>
          <w:color w:val="001D35"/>
          <w:shd w:val="clear" w:color="auto" w:fill="FFFFFF"/>
        </w:rPr>
        <w:t xml:space="preserve">mandatory framework </w:t>
      </w:r>
      <w:r w:rsidRPr="0043369C" w:rsidR="00AC4377">
        <w:rPr>
          <w:color w:val="001D35"/>
          <w:shd w:val="clear" w:color="auto" w:fill="FFFFFF"/>
        </w:rPr>
        <w:t xml:space="preserve">for </w:t>
      </w:r>
      <w:r w:rsidR="006324BA">
        <w:rPr>
          <w:color w:val="001D35"/>
          <w:shd w:val="clear" w:color="auto" w:fill="FFFFFF"/>
        </w:rPr>
        <w:t xml:space="preserve">landlords to comply. </w:t>
      </w:r>
      <w:r w:rsidRPr="0043369C" w:rsidR="00AC4377">
        <w:rPr>
          <w:color w:val="001D35"/>
          <w:shd w:val="clear" w:color="auto" w:fill="FFFFFF"/>
        </w:rPr>
        <w:t xml:space="preserve"> </w:t>
      </w:r>
    </w:p>
    <w:p w:rsidRPr="0043369C" w:rsidR="0043369C" w:rsidP="0098158F" w:rsidRDefault="00CA76F0" w14:paraId="739CC5CB" w14:noSpellErr="1" w14:textId="275907EA">
      <w:pPr>
        <w:numPr>
          <w:ilvl w:val="0"/>
          <w:numId w:val="2"/>
        </w:numPr>
        <w:ind w:right="707" w:hanging="360"/>
        <w:rPr/>
      </w:pPr>
      <w:r w:rsidR="00CA76F0">
        <w:rPr/>
        <w:t xml:space="preserve">These new requirements </w:t>
      </w:r>
      <w:r w:rsidR="00AC4377">
        <w:rPr/>
        <w:t xml:space="preserve">alongside the feedback received from a series of engagement events that took place during spring and summer of this year together </w:t>
      </w:r>
      <w:r w:rsidR="0043369C">
        <w:rPr/>
        <w:t xml:space="preserve">they </w:t>
      </w:r>
      <w:r w:rsidR="00AC4377">
        <w:rPr/>
        <w:t>have provided a</w:t>
      </w:r>
      <w:r w:rsidR="007E2A80">
        <w:rPr/>
        <w:t xml:space="preserve"> clear acknowledgment that improvements must be made in how </w:t>
      </w:r>
      <w:r w:rsidR="00AC4377">
        <w:rPr/>
        <w:t xml:space="preserve">OCC </w:t>
      </w:r>
      <w:r w:rsidR="007E2A80">
        <w:rPr/>
        <w:t>engage</w:t>
      </w:r>
      <w:r w:rsidR="00AC4377">
        <w:rPr/>
        <w:t>s</w:t>
      </w:r>
      <w:r w:rsidR="007E2A80">
        <w:rPr/>
        <w:t xml:space="preserve"> with </w:t>
      </w:r>
      <w:r w:rsidR="00AC4377">
        <w:rPr/>
        <w:t xml:space="preserve">its </w:t>
      </w:r>
      <w:r w:rsidR="007E2A80">
        <w:rPr/>
        <w:t xml:space="preserve">residents. </w:t>
      </w:r>
      <w:r w:rsidR="00AC4377">
        <w:rPr/>
        <w:t xml:space="preserve">There is also a recognition that </w:t>
      </w:r>
      <w:r w:rsidR="007E2A80">
        <w:rPr/>
        <w:t>the</w:t>
      </w:r>
      <w:r w:rsidR="00AC4377">
        <w:rPr/>
        <w:t>re is a</w:t>
      </w:r>
      <w:r w:rsidR="007E2A80">
        <w:rPr/>
        <w:t xml:space="preserve"> need to modernise engagement</w:t>
      </w:r>
      <w:r w:rsidR="00AC4377">
        <w:rPr/>
        <w:t xml:space="preserve"> approaches to ensure that social housing residents wh</w:t>
      </w:r>
      <w:r w:rsidR="007E2A80">
        <w:rPr/>
        <w:t xml:space="preserve">o directly experience </w:t>
      </w:r>
      <w:r w:rsidR="00825E7C">
        <w:rPr/>
        <w:t>delivery of housing</w:t>
      </w:r>
      <w:r w:rsidR="007E2A80">
        <w:rPr/>
        <w:t xml:space="preserve"> services—are genuinely involved in shaping how those services are provided</w:t>
      </w:r>
      <w:r w:rsidR="007E2A80">
        <w:rPr/>
        <w:t>.</w:t>
      </w:r>
      <w:r w:rsidR="0043369C">
        <w:rPr/>
        <w:t xml:space="preserve">  </w:t>
      </w:r>
      <w:r w:rsidR="007E2A80">
        <w:rPr/>
        <w:t>The proposals and action plan outlined in th</w:t>
      </w:r>
      <w:r w:rsidR="0043369C">
        <w:rPr/>
        <w:t>e</w:t>
      </w:r>
      <w:r w:rsidR="007E2A80">
        <w:rPr/>
        <w:t xml:space="preserve"> strategy form part of a wider comprehensive suite of transformation changes taking place throughout </w:t>
      </w:r>
      <w:r w:rsidR="0043369C">
        <w:rPr/>
        <w:t>the</w:t>
      </w:r>
      <w:r w:rsidR="007E2A80">
        <w:rPr/>
        <w:t xml:space="preserve"> landlord service. Collectively, these changes will enable </w:t>
      </w:r>
      <w:r w:rsidR="0043369C">
        <w:rPr/>
        <w:t>the housing service to</w:t>
      </w:r>
      <w:r w:rsidR="007E2A80">
        <w:rPr/>
        <w:t xml:space="preserve"> be</w:t>
      </w:r>
      <w:r w:rsidR="00916B9D">
        <w:rPr/>
        <w:t xml:space="preserve"> be</w:t>
      </w:r>
      <w:r w:rsidR="007E2A80">
        <w:rPr/>
        <w:t xml:space="preserve">tter structured </w:t>
      </w:r>
      <w:r w:rsidR="1E446C0C">
        <w:rPr/>
        <w:t>and placed</w:t>
      </w:r>
      <w:r w:rsidR="00916B9D">
        <w:rPr/>
        <w:t xml:space="preserve"> to </w:t>
      </w:r>
      <w:r w:rsidR="0043369C">
        <w:rPr/>
        <w:t xml:space="preserve">deliver better outcomes for residents. </w:t>
      </w:r>
    </w:p>
    <w:p w:rsidR="005C2236" w:rsidP="005C2236" w:rsidRDefault="007E2A80" w14:paraId="76F63D8D" w14:textId="67DF6AB1">
      <w:pPr>
        <w:pStyle w:val="NoSpacing"/>
        <w:numPr>
          <w:ilvl w:val="0"/>
          <w:numId w:val="2"/>
        </w:numPr>
        <w:ind w:right="707" w:hanging="360"/>
        <w:rPr>
          <w:b/>
          <w:bCs/>
        </w:rPr>
      </w:pPr>
      <w:r w:rsidRPr="0024179F">
        <w:t xml:space="preserve">Central to </w:t>
      </w:r>
      <w:r w:rsidRPr="0024179F" w:rsidR="0043369C">
        <w:t xml:space="preserve">the proposals set out in the strategy </w:t>
      </w:r>
      <w:r w:rsidRPr="0024179F">
        <w:t>is</w:t>
      </w:r>
      <w:r w:rsidRPr="0024179F" w:rsidR="0024179F">
        <w:t xml:space="preserve"> also the alignment of OCC’s strategic priorities for housing which also seek to ensure the provision of good landlord services and that </w:t>
      </w:r>
      <w:r w:rsidR="0024179F">
        <w:t>it</w:t>
      </w:r>
      <w:r w:rsidRPr="0024179F" w:rsidR="0024179F">
        <w:t xml:space="preserve"> ensure</w:t>
      </w:r>
      <w:r w:rsidR="0024179F">
        <w:t>s</w:t>
      </w:r>
      <w:r w:rsidRPr="0024179F" w:rsidR="0024179F">
        <w:t xml:space="preserve"> </w:t>
      </w:r>
      <w:r w:rsidR="0024179F">
        <w:t>residents</w:t>
      </w:r>
      <w:r w:rsidRPr="0024179F" w:rsidR="0024179F">
        <w:t xml:space="preserve"> have more say in the way their homes and communities are managed, embracing diversity and delivering active community involvement.  Together, this means that through this strategy there is meaningful commitment to </w:t>
      </w:r>
      <w:r w:rsidRPr="0024179F">
        <w:t>developing the right engagement platforms, the right tools and the right information, offering the support and training necessary for tenants and leaseholders to feel empowered and enabl</w:t>
      </w:r>
      <w:r w:rsidRPr="0024179F" w:rsidR="0024179F">
        <w:t>ing</w:t>
      </w:r>
      <w:r w:rsidRPr="0024179F">
        <w:t xml:space="preserve"> them to participate fully</w:t>
      </w:r>
      <w:r w:rsidRPr="0024179F" w:rsidR="0024179F">
        <w:t xml:space="preserve"> </w:t>
      </w:r>
      <w:r w:rsidRPr="0024179F">
        <w:t>foster</w:t>
      </w:r>
      <w:r w:rsidR="0086360C">
        <w:t>ing</w:t>
      </w:r>
      <w:r w:rsidRPr="0024179F">
        <w:t xml:space="preserve"> more effective and meaningful</w:t>
      </w:r>
      <w:r w:rsidR="00042714">
        <w:t xml:space="preserve"> involvement and</w:t>
      </w:r>
      <w:r w:rsidRPr="0024179F">
        <w:t xml:space="preserve"> engagement.</w:t>
      </w:r>
    </w:p>
    <w:p w:rsidR="005C2236" w:rsidP="005C2236" w:rsidRDefault="005C2236" w14:paraId="3B32BBA8" w14:textId="77777777">
      <w:pPr>
        <w:pStyle w:val="NoSpacing"/>
        <w:ind w:left="0" w:right="707" w:firstLine="0"/>
        <w:rPr>
          <w:b/>
          <w:bCs/>
        </w:rPr>
      </w:pPr>
    </w:p>
    <w:p w:rsidR="005C2236" w:rsidP="005C2236" w:rsidRDefault="005C2236" w14:paraId="2662F227" w14:textId="1DC4B209">
      <w:pPr>
        <w:pStyle w:val="NoSpacing"/>
        <w:ind w:left="0" w:right="707" w:firstLine="0"/>
        <w:rPr>
          <w:b/>
          <w:bCs/>
        </w:rPr>
      </w:pPr>
      <w:r>
        <w:rPr>
          <w:b/>
          <w:bCs/>
        </w:rPr>
        <w:t xml:space="preserve">A new resident engagement and involvement strategy </w:t>
      </w:r>
    </w:p>
    <w:p w:rsidR="005C2236" w:rsidP="005C2236" w:rsidRDefault="005C2236" w14:paraId="287FF990" w14:textId="77777777">
      <w:pPr>
        <w:pStyle w:val="NoSpacing"/>
        <w:ind w:left="0" w:right="707" w:firstLine="0"/>
        <w:rPr>
          <w:b/>
          <w:bCs/>
        </w:rPr>
      </w:pPr>
    </w:p>
    <w:p w:rsidRPr="00F53345" w:rsidR="00F53345" w:rsidP="00F53345" w:rsidRDefault="00EB22C7" w14:paraId="1CF57C78" w14:noSpellErr="1" w14:textId="3E2F99BA">
      <w:pPr>
        <w:pStyle w:val="NoSpacing"/>
        <w:numPr>
          <w:ilvl w:val="0"/>
          <w:numId w:val="2"/>
        </w:numPr>
        <w:ind w:right="707" w:hanging="360"/>
        <w:rPr>
          <w:b w:val="1"/>
          <w:bCs w:val="1"/>
        </w:rPr>
      </w:pPr>
      <w:r w:rsidR="00EB22C7">
        <w:rPr/>
        <w:t>The series of</w:t>
      </w:r>
      <w:r w:rsidR="00F53345">
        <w:rPr/>
        <w:t xml:space="preserve"> engagement events</w:t>
      </w:r>
      <w:r w:rsidR="00375264">
        <w:rPr/>
        <w:t xml:space="preserve"> and feedback from residents</w:t>
      </w:r>
      <w:r w:rsidR="00F53345">
        <w:rPr/>
        <w:t xml:space="preserve"> </w:t>
      </w:r>
      <w:r w:rsidR="00EB22C7">
        <w:rPr/>
        <w:t xml:space="preserve">that took place </w:t>
      </w:r>
      <w:r w:rsidR="00F53345">
        <w:rPr/>
        <w:t xml:space="preserve">during the spring and summer of 2025 </w:t>
      </w:r>
      <w:r w:rsidR="006B1072">
        <w:rPr/>
        <w:t xml:space="preserve">has been fundamental </w:t>
      </w:r>
      <w:r w:rsidR="00287183">
        <w:rPr/>
        <w:t xml:space="preserve">in preparing </w:t>
      </w:r>
      <w:r w:rsidR="008E715C">
        <w:rPr/>
        <w:t>the proposals within this strategy</w:t>
      </w:r>
      <w:r w:rsidR="0008223F">
        <w:rPr/>
        <w:t>.</w:t>
      </w:r>
      <w:r w:rsidR="006B1072">
        <w:rPr/>
        <w:t xml:space="preserve"> </w:t>
      </w:r>
      <w:r w:rsidR="3EC9816F">
        <w:rPr/>
        <w:t xml:space="preserve">Feedback recognised at the core </w:t>
      </w:r>
      <w:r w:rsidR="00F53345">
        <w:rPr/>
        <w:t>that improvements w</w:t>
      </w:r>
      <w:r w:rsidR="00D9374A">
        <w:rPr/>
        <w:t>ere</w:t>
      </w:r>
      <w:r w:rsidR="00F53345">
        <w:rPr/>
        <w:t xml:space="preserve"> needed on building trust, being heard and </w:t>
      </w:r>
      <w:r w:rsidR="00D9374A">
        <w:rPr/>
        <w:t>building</w:t>
      </w:r>
      <w:r w:rsidR="00F53345">
        <w:rPr/>
        <w:t xml:space="preserve"> </w:t>
      </w:r>
      <w:r w:rsidR="00D9374A">
        <w:rPr/>
        <w:t xml:space="preserve">a </w:t>
      </w:r>
      <w:r w:rsidR="00F53345">
        <w:rPr/>
        <w:t xml:space="preserve">better relationship between tenants </w:t>
      </w:r>
      <w:r w:rsidR="009C7EB6">
        <w:rPr/>
        <w:t>and the</w:t>
      </w:r>
      <w:r w:rsidR="00F53345">
        <w:rPr/>
        <w:t xml:space="preserve"> </w:t>
      </w:r>
      <w:r w:rsidR="3D64B106">
        <w:rPr/>
        <w:t>C</w:t>
      </w:r>
      <w:r w:rsidR="00F53345">
        <w:rPr/>
        <w:t>ouncil as a landlord. This has led to acknowledging that relationship with tenants need</w:t>
      </w:r>
      <w:r w:rsidR="00BC6832">
        <w:rPr/>
        <w:t>ed</w:t>
      </w:r>
      <w:r w:rsidR="00F53345">
        <w:rPr/>
        <w:t xml:space="preserve"> to go beyond bricks and mortar – </w:t>
      </w:r>
      <w:r w:rsidR="00BC6832">
        <w:rPr/>
        <w:t xml:space="preserve">residents </w:t>
      </w:r>
      <w:r w:rsidR="00F53345">
        <w:rPr/>
        <w:t>want to be heard, feel informed and be involved</w:t>
      </w:r>
      <w:r w:rsidR="00462A22">
        <w:rPr/>
        <w:t xml:space="preserve"> </w:t>
      </w:r>
      <w:r w:rsidR="00BC6832">
        <w:rPr/>
        <w:t>in</w:t>
      </w:r>
      <w:r w:rsidR="00462A22">
        <w:rPr/>
        <w:t xml:space="preserve"> improving the quality of services they receive</w:t>
      </w:r>
      <w:r w:rsidR="00F53345">
        <w:rPr/>
        <w:t xml:space="preserve">. Taking this into consideration the strategy has been developed on the following four </w:t>
      </w:r>
      <w:r w:rsidR="00F53345">
        <w:rPr/>
        <w:t>principles;</w:t>
      </w:r>
    </w:p>
    <w:p w:rsidRPr="00EE0DA9" w:rsidR="00EE0DA9" w:rsidP="00EE0DA9" w:rsidRDefault="00EE0DA9" w14:paraId="3F68E7E2" w14:textId="77777777">
      <w:pPr>
        <w:pStyle w:val="ListParagraph"/>
        <w:spacing w:after="0" w:line="216" w:lineRule="auto"/>
        <w:ind w:left="0" w:firstLine="0"/>
        <w:rPr>
          <w:rFonts w:eastAsia="Times New Roman"/>
          <w:color w:val="000000" w:themeColor="text1"/>
          <w:kern w:val="0"/>
          <w14:ligatures w14:val="none"/>
        </w:rPr>
      </w:pPr>
    </w:p>
    <w:p w:rsidRPr="00F53345" w:rsidR="00EE0DA9" w:rsidP="00EE0DA9" w:rsidRDefault="009577B3" w14:paraId="671189A5" w14:textId="0F332CFA">
      <w:pPr>
        <w:pStyle w:val="ListParagraph"/>
        <w:numPr>
          <w:ilvl w:val="0"/>
          <w:numId w:val="17"/>
        </w:numPr>
        <w:spacing w:after="0" w:line="216" w:lineRule="auto"/>
        <w:ind w:hanging="360"/>
        <w:rPr>
          <w:rFonts w:eastAsia="Times New Roman"/>
          <w:color w:val="000000" w:themeColor="text1"/>
          <w:kern w:val="0"/>
          <w14:ligatures w14:val="none"/>
        </w:rPr>
      </w:pPr>
      <w:r>
        <w:rPr>
          <w:rFonts w:eastAsiaTheme="minorEastAsia"/>
          <w:color w:val="000000" w:themeColor="text1"/>
          <w:kern w:val="24"/>
          <w14:ligatures w14:val="none"/>
        </w:rPr>
        <w:t>R</w:t>
      </w:r>
      <w:r w:rsidRPr="00F53345" w:rsidR="00EE0DA9">
        <w:rPr>
          <w:rFonts w:eastAsiaTheme="minorEastAsia"/>
          <w:color w:val="000000" w:themeColor="text1"/>
          <w:kern w:val="24"/>
          <w14:ligatures w14:val="none"/>
        </w:rPr>
        <w:t xml:space="preserve">eset engagement and resident relationships </w:t>
      </w:r>
    </w:p>
    <w:p w:rsidRPr="00F53345" w:rsidR="00EE0DA9" w:rsidP="00EE0DA9" w:rsidRDefault="00EE0DA9" w14:paraId="4AF73450" w14:textId="77777777">
      <w:pPr>
        <w:pStyle w:val="ListParagraph"/>
        <w:numPr>
          <w:ilvl w:val="0"/>
          <w:numId w:val="17"/>
        </w:numPr>
        <w:spacing w:after="0" w:line="216" w:lineRule="auto"/>
        <w:ind w:hanging="360"/>
        <w:rPr>
          <w:rFonts w:eastAsia="Times New Roman"/>
          <w:color w:val="000000" w:themeColor="text1"/>
          <w:kern w:val="0"/>
          <w14:ligatures w14:val="none"/>
        </w:rPr>
      </w:pPr>
      <w:r w:rsidRPr="00F53345">
        <w:rPr>
          <w:rFonts w:eastAsiaTheme="minorEastAsia"/>
          <w:color w:val="000000" w:themeColor="text1"/>
          <w:kern w:val="24"/>
          <w14:ligatures w14:val="none"/>
        </w:rPr>
        <w:t>Actively listen to our residents</w:t>
      </w:r>
    </w:p>
    <w:p w:rsidRPr="00F53345" w:rsidR="00EE0DA9" w:rsidP="00EE0DA9" w:rsidRDefault="00EE0DA9" w14:paraId="089EBA15" w14:textId="77777777">
      <w:pPr>
        <w:pStyle w:val="ListParagraph"/>
        <w:numPr>
          <w:ilvl w:val="0"/>
          <w:numId w:val="17"/>
        </w:numPr>
        <w:spacing w:after="0" w:line="216" w:lineRule="auto"/>
        <w:ind w:hanging="360"/>
        <w:rPr>
          <w:rFonts w:eastAsia="Times New Roman"/>
          <w:color w:val="000000" w:themeColor="text1"/>
          <w:kern w:val="0"/>
          <w14:ligatures w14:val="none"/>
        </w:rPr>
      </w:pPr>
      <w:r w:rsidRPr="00F53345">
        <w:rPr>
          <w:rFonts w:eastAsiaTheme="minorEastAsia"/>
          <w:color w:val="000000" w:themeColor="text1"/>
          <w:kern w:val="24"/>
          <w14:ligatures w14:val="none"/>
        </w:rPr>
        <w:t>Respond to residents’ priorities and their concerns</w:t>
      </w:r>
    </w:p>
    <w:p w:rsidRPr="00F53345" w:rsidR="00EE0DA9" w:rsidP="00EE0DA9" w:rsidRDefault="00EE0DA9" w14:paraId="4C556303" w14:textId="3AF4EDFC">
      <w:pPr>
        <w:pStyle w:val="ListParagraph"/>
        <w:numPr>
          <w:ilvl w:val="0"/>
          <w:numId w:val="17"/>
        </w:numPr>
        <w:spacing w:after="0" w:line="216" w:lineRule="auto"/>
        <w:rPr>
          <w:rFonts w:eastAsia="Times New Roman"/>
          <w:color w:val="000000" w:themeColor="text1"/>
          <w:kern w:val="0"/>
          <w14:ligatures w14:val="none"/>
        </w:rPr>
      </w:pPr>
      <w:r w:rsidRPr="00F53345">
        <w:rPr>
          <w:rFonts w:eastAsia="Times New Roman"/>
          <w:color w:val="000000" w:themeColor="text1"/>
          <w:kern w:val="0"/>
          <w14:ligatures w14:val="none"/>
        </w:rPr>
        <w:t xml:space="preserve">Embed meaningful and effective </w:t>
      </w:r>
      <w:r w:rsidR="00042714">
        <w:rPr>
          <w:rFonts w:eastAsia="Times New Roman"/>
          <w:color w:val="000000" w:themeColor="text1"/>
          <w:kern w:val="0"/>
          <w14:ligatures w14:val="none"/>
        </w:rPr>
        <w:t xml:space="preserve">involvement and </w:t>
      </w:r>
      <w:r w:rsidRPr="00F53345">
        <w:rPr>
          <w:rFonts w:eastAsia="Times New Roman"/>
          <w:color w:val="000000" w:themeColor="text1"/>
          <w:kern w:val="0"/>
          <w14:ligatures w14:val="none"/>
        </w:rPr>
        <w:t xml:space="preserve">engagement </w:t>
      </w:r>
      <w:r w:rsidR="00B912E0">
        <w:rPr>
          <w:rFonts w:eastAsia="Times New Roman"/>
          <w:color w:val="000000" w:themeColor="text1"/>
          <w:kern w:val="0"/>
          <w14:ligatures w14:val="none"/>
        </w:rPr>
        <w:t>structures</w:t>
      </w:r>
    </w:p>
    <w:p w:rsidR="00EE0DA9" w:rsidP="00EE0DA9" w:rsidRDefault="00EE0DA9" w14:paraId="3C599636" w14:textId="77777777">
      <w:pPr>
        <w:pStyle w:val="ListParagraph"/>
        <w:spacing w:after="0" w:line="216" w:lineRule="auto"/>
        <w:ind w:left="0" w:firstLine="0"/>
        <w:rPr>
          <w:rFonts w:eastAsia="Times New Roman"/>
          <w:color w:val="000000" w:themeColor="text1"/>
          <w:kern w:val="0"/>
          <w14:ligatures w14:val="none"/>
        </w:rPr>
      </w:pPr>
    </w:p>
    <w:p w:rsidRPr="00EB6FEC" w:rsidR="00EE0DA9" w:rsidP="00EE0DA9" w:rsidRDefault="00EE0DA9" w14:paraId="4EDF6A68" w14:textId="34B2F08F">
      <w:pPr>
        <w:pStyle w:val="ListParagraph"/>
        <w:spacing w:after="0" w:line="216" w:lineRule="auto"/>
        <w:ind w:left="0" w:firstLine="0"/>
        <w:rPr>
          <w:rFonts w:eastAsia="Times New Roman"/>
          <w:b/>
          <w:bCs/>
          <w:i/>
          <w:iCs/>
          <w:color w:val="000000" w:themeColor="text1"/>
          <w:kern w:val="0"/>
          <w14:ligatures w14:val="none"/>
        </w:rPr>
      </w:pPr>
      <w:r w:rsidRPr="00EB6FEC">
        <w:rPr>
          <w:rFonts w:eastAsia="Times New Roman"/>
          <w:b/>
          <w:bCs/>
          <w:i/>
          <w:iCs/>
          <w:color w:val="000000" w:themeColor="text1"/>
          <w:kern w:val="0"/>
          <w14:ligatures w14:val="none"/>
        </w:rPr>
        <w:t xml:space="preserve">Knowing </w:t>
      </w:r>
      <w:r w:rsidR="00E446B8">
        <w:rPr>
          <w:rFonts w:eastAsia="Times New Roman"/>
          <w:b/>
          <w:bCs/>
          <w:i/>
          <w:iCs/>
          <w:color w:val="000000" w:themeColor="text1"/>
          <w:kern w:val="0"/>
          <w14:ligatures w14:val="none"/>
        </w:rPr>
        <w:t>residents</w:t>
      </w:r>
      <w:r w:rsidR="008C5F15">
        <w:rPr>
          <w:rFonts w:eastAsia="Times New Roman"/>
          <w:b/>
          <w:bCs/>
          <w:i/>
          <w:iCs/>
          <w:color w:val="000000" w:themeColor="text1"/>
          <w:kern w:val="0"/>
          <w14:ligatures w14:val="none"/>
        </w:rPr>
        <w:t>,</w:t>
      </w:r>
      <w:r w:rsidRPr="00EB6FEC">
        <w:rPr>
          <w:rFonts w:eastAsia="Times New Roman"/>
          <w:b/>
          <w:bCs/>
          <w:i/>
          <w:iCs/>
          <w:color w:val="000000" w:themeColor="text1"/>
          <w:kern w:val="0"/>
          <w14:ligatures w14:val="none"/>
        </w:rPr>
        <w:t xml:space="preserve"> understanding their needs </w:t>
      </w:r>
      <w:r w:rsidR="008C5F15">
        <w:rPr>
          <w:rFonts w:eastAsia="Times New Roman"/>
          <w:b/>
          <w:bCs/>
          <w:i/>
          <w:iCs/>
          <w:color w:val="000000" w:themeColor="text1"/>
          <w:kern w:val="0"/>
          <w14:ligatures w14:val="none"/>
        </w:rPr>
        <w:t xml:space="preserve">and priorities </w:t>
      </w:r>
    </w:p>
    <w:p w:rsidR="00EE0DA9" w:rsidP="00EE0DA9" w:rsidRDefault="00EE0DA9" w14:paraId="753C3D1B" w14:textId="77777777">
      <w:pPr>
        <w:pStyle w:val="ListParagraph"/>
        <w:spacing w:after="0" w:line="216" w:lineRule="auto"/>
        <w:ind w:left="0" w:firstLine="0"/>
        <w:rPr>
          <w:rFonts w:eastAsia="Times New Roman"/>
          <w:b/>
          <w:bCs/>
          <w:color w:val="000000" w:themeColor="text1"/>
          <w:kern w:val="0"/>
          <w14:ligatures w14:val="none"/>
        </w:rPr>
      </w:pPr>
    </w:p>
    <w:p w:rsidRPr="00E33099" w:rsidR="00EE0DA9" w:rsidP="00E33099" w:rsidRDefault="00EE0DA9" w14:paraId="772861A0" w14:textId="47BCC833">
      <w:pPr>
        <w:pStyle w:val="ListParagraph"/>
        <w:numPr>
          <w:ilvl w:val="0"/>
          <w:numId w:val="2"/>
        </w:numPr>
        <w:spacing w:after="0" w:line="216" w:lineRule="auto"/>
        <w:rPr>
          <w:rFonts w:eastAsia="Times New Roman"/>
          <w:color w:val="000000" w:themeColor="text1"/>
          <w:kern w:val="0"/>
          <w14:ligatures w14:val="none"/>
        </w:rPr>
      </w:pPr>
      <w:r w:rsidRPr="00EE0DA9">
        <w:t xml:space="preserve">Meaningful engagement that truly reflects the diverse </w:t>
      </w:r>
      <w:r w:rsidRPr="00AE004D">
        <w:rPr>
          <w:color w:val="313131"/>
        </w:rPr>
        <w:t xml:space="preserve">voices including those who are silent or under presented </w:t>
      </w:r>
      <w:r w:rsidRPr="00EE0DA9">
        <w:t xml:space="preserve">requires a good understanding of </w:t>
      </w:r>
      <w:r w:rsidR="00E446B8">
        <w:t>residents</w:t>
      </w:r>
      <w:r w:rsidR="00AE004D">
        <w:t xml:space="preserve"> and their needs</w:t>
      </w:r>
      <w:r w:rsidRPr="00AE004D">
        <w:rPr>
          <w:color w:val="313131"/>
        </w:rPr>
        <w:t xml:space="preserve">.  Recognising this, </w:t>
      </w:r>
      <w:r w:rsidRPr="00AE004D" w:rsidR="00AE004D">
        <w:rPr>
          <w:color w:val="313131"/>
        </w:rPr>
        <w:t>the strategy</w:t>
      </w:r>
      <w:r w:rsidR="00FE5BA9">
        <w:rPr>
          <w:color w:val="313131"/>
        </w:rPr>
        <w:t xml:space="preserve"> </w:t>
      </w:r>
      <w:r w:rsidR="00642A52">
        <w:rPr>
          <w:color w:val="313131"/>
        </w:rPr>
        <w:t xml:space="preserve">sets out </w:t>
      </w:r>
      <w:r w:rsidR="00FE5BA9">
        <w:rPr>
          <w:color w:val="313131"/>
        </w:rPr>
        <w:t>how it</w:t>
      </w:r>
      <w:r w:rsidRPr="00AE004D" w:rsidR="00AE004D">
        <w:rPr>
          <w:color w:val="313131"/>
        </w:rPr>
        <w:t xml:space="preserve"> will pursue the continuation of the </w:t>
      </w:r>
      <w:r w:rsidRPr="00AE004D">
        <w:rPr>
          <w:b/>
          <w:bCs/>
          <w:i/>
          <w:iCs/>
        </w:rPr>
        <w:t>Knowing our residents</w:t>
      </w:r>
      <w:r w:rsidRPr="00AE004D">
        <w:rPr>
          <w:i/>
          <w:iCs/>
        </w:rPr>
        <w:t xml:space="preserve"> </w:t>
      </w:r>
      <w:r w:rsidRPr="00EE0DA9">
        <w:t xml:space="preserve">programme which is helping </w:t>
      </w:r>
      <w:r w:rsidR="00AE004D">
        <w:t>t</w:t>
      </w:r>
      <w:r w:rsidRPr="00EE0DA9">
        <w:t>o gather data</w:t>
      </w:r>
      <w:r w:rsidR="00AE004D">
        <w:t xml:space="preserve"> about </w:t>
      </w:r>
      <w:r w:rsidR="00642A52">
        <w:t>residents</w:t>
      </w:r>
      <w:r w:rsidR="00AE004D">
        <w:t xml:space="preserve"> and their needs including their </w:t>
      </w:r>
      <w:r w:rsidRPr="00EE0DA9">
        <w:t xml:space="preserve">vulnerabilities.  </w:t>
      </w:r>
      <w:r w:rsidR="00AE004D">
        <w:t>This intelligence will help shape improvement plans and</w:t>
      </w:r>
      <w:r w:rsidRPr="00EE0DA9">
        <w:rPr>
          <w:rFonts w:eastAsia="Times New Roman"/>
          <w:color w:val="000000" w:themeColor="text1"/>
          <w:kern w:val="0"/>
          <w14:ligatures w14:val="none"/>
        </w:rPr>
        <w:t xml:space="preserve"> engagement activity around what we know </w:t>
      </w:r>
      <w:r w:rsidRPr="00AE004D" w:rsidR="00AE004D">
        <w:rPr>
          <w:rFonts w:eastAsia="Times New Roman"/>
          <w:color w:val="000000" w:themeColor="text1"/>
          <w:kern w:val="0"/>
          <w14:ligatures w14:val="none"/>
        </w:rPr>
        <w:t xml:space="preserve">about </w:t>
      </w:r>
      <w:r w:rsidR="00BC6832">
        <w:rPr>
          <w:rFonts w:eastAsia="Times New Roman"/>
          <w:color w:val="000000" w:themeColor="text1"/>
          <w:kern w:val="0"/>
          <w14:ligatures w14:val="none"/>
        </w:rPr>
        <w:t>resident’s</w:t>
      </w:r>
      <w:r w:rsidRPr="00AE004D" w:rsidR="00AE004D">
        <w:rPr>
          <w:rFonts w:eastAsia="Times New Roman"/>
          <w:color w:val="000000" w:themeColor="text1"/>
          <w:kern w:val="0"/>
          <w14:ligatures w14:val="none"/>
        </w:rPr>
        <w:t xml:space="preserve"> needs – for </w:t>
      </w:r>
      <w:proofErr w:type="spellStart"/>
      <w:proofErr w:type="gramStart"/>
      <w:r w:rsidRPr="00AE004D" w:rsidR="00AE004D">
        <w:rPr>
          <w:rFonts w:eastAsia="Times New Roman"/>
          <w:color w:val="000000" w:themeColor="text1"/>
          <w:kern w:val="0"/>
          <w14:ligatures w14:val="none"/>
        </w:rPr>
        <w:t>eg</w:t>
      </w:r>
      <w:proofErr w:type="spellEnd"/>
      <w:r w:rsidRPr="00AE004D" w:rsidR="00AE004D">
        <w:rPr>
          <w:rFonts w:eastAsia="Times New Roman"/>
          <w:color w:val="000000" w:themeColor="text1"/>
          <w:kern w:val="0"/>
          <w14:ligatures w14:val="none"/>
        </w:rPr>
        <w:t>;</w:t>
      </w:r>
      <w:proofErr w:type="gramEnd"/>
      <w:r w:rsidRPr="00AE004D" w:rsidR="00AE004D">
        <w:rPr>
          <w:rFonts w:eastAsia="Times New Roman"/>
          <w:color w:val="000000" w:themeColor="text1"/>
          <w:kern w:val="0"/>
          <w14:ligatures w14:val="none"/>
        </w:rPr>
        <w:t xml:space="preserve"> </w:t>
      </w:r>
      <w:r w:rsidR="00E33099">
        <w:rPr>
          <w:rFonts w:eastAsia="Times New Roman"/>
          <w:color w:val="000000" w:themeColor="text1"/>
          <w:kern w:val="0"/>
          <w14:ligatures w14:val="none"/>
        </w:rPr>
        <w:t xml:space="preserve">better balance online and in-person events, tailor approach and </w:t>
      </w:r>
      <w:r w:rsidRPr="00EE0DA9">
        <w:rPr>
          <w:rFonts w:eastAsia="Times New Roman"/>
          <w:color w:val="000000" w:themeColor="text1"/>
          <w:kern w:val="0"/>
          <w14:ligatures w14:val="none"/>
        </w:rPr>
        <w:t>reach out to those with mobility</w:t>
      </w:r>
      <w:r w:rsidR="00E33099">
        <w:rPr>
          <w:rFonts w:eastAsia="Times New Roman"/>
          <w:color w:val="000000" w:themeColor="text1"/>
          <w:kern w:val="0"/>
          <w14:ligatures w14:val="none"/>
        </w:rPr>
        <w:t xml:space="preserve"> or language barriers and be more visibly present in the community</w:t>
      </w:r>
      <w:r w:rsidRPr="00EE0DA9">
        <w:rPr>
          <w:rFonts w:eastAsia="Times New Roman"/>
          <w:color w:val="000000" w:themeColor="text1"/>
          <w:kern w:val="0"/>
          <w14:ligatures w14:val="none"/>
        </w:rPr>
        <w:t xml:space="preserve"> </w:t>
      </w:r>
      <w:r w:rsidR="00E33099">
        <w:rPr>
          <w:rFonts w:eastAsia="Times New Roman"/>
          <w:color w:val="000000" w:themeColor="text1"/>
          <w:kern w:val="0"/>
          <w14:ligatures w14:val="none"/>
        </w:rPr>
        <w:t xml:space="preserve">and evidence our commitment change and engagement </w:t>
      </w:r>
    </w:p>
    <w:p w:rsidR="00E33099" w:rsidP="00EE0DA9" w:rsidRDefault="00E33099" w14:paraId="1A327282" w14:textId="77777777">
      <w:pPr>
        <w:pStyle w:val="ListParagraph"/>
        <w:spacing w:after="0" w:line="216" w:lineRule="auto"/>
        <w:ind w:left="0" w:firstLine="0"/>
        <w:rPr>
          <w:rFonts w:eastAsia="Times New Roman"/>
          <w:color w:val="000000" w:themeColor="text1"/>
          <w:kern w:val="0"/>
          <w14:ligatures w14:val="none"/>
        </w:rPr>
      </w:pPr>
    </w:p>
    <w:p w:rsidR="00E33099" w:rsidP="00F53345" w:rsidRDefault="00E33099" w14:paraId="4089FC9D" w14:textId="35190EFF">
      <w:pPr>
        <w:pStyle w:val="ListParagraph"/>
        <w:numPr>
          <w:ilvl w:val="0"/>
          <w:numId w:val="2"/>
        </w:numPr>
        <w:spacing w:after="0" w:line="216" w:lineRule="auto"/>
        <w:ind w:hanging="360"/>
        <w:rPr>
          <w:rFonts w:eastAsia="Times New Roman"/>
          <w:color w:val="000000" w:themeColor="text1"/>
          <w:kern w:val="0"/>
          <w14:ligatures w14:val="none"/>
        </w:rPr>
      </w:pPr>
      <w:r>
        <w:rPr>
          <w:rFonts w:eastAsia="Times New Roman"/>
          <w:color w:val="000000" w:themeColor="text1"/>
          <w:kern w:val="0"/>
          <w14:ligatures w14:val="none"/>
        </w:rPr>
        <w:t xml:space="preserve">The feedback from residents </w:t>
      </w:r>
      <w:r w:rsidR="009D0C80">
        <w:rPr>
          <w:rFonts w:eastAsia="Times New Roman"/>
          <w:color w:val="000000" w:themeColor="text1"/>
          <w:kern w:val="0"/>
          <w14:ligatures w14:val="none"/>
        </w:rPr>
        <w:t xml:space="preserve">also </w:t>
      </w:r>
      <w:r>
        <w:rPr>
          <w:rFonts w:eastAsia="Times New Roman"/>
          <w:color w:val="000000" w:themeColor="text1"/>
          <w:kern w:val="0"/>
          <w14:ligatures w14:val="none"/>
        </w:rPr>
        <w:t>provided a better understanding of their</w:t>
      </w:r>
      <w:r w:rsidR="00330605">
        <w:rPr>
          <w:rFonts w:eastAsia="Times New Roman"/>
          <w:color w:val="000000" w:themeColor="text1"/>
          <w:kern w:val="0"/>
          <w14:ligatures w14:val="none"/>
        </w:rPr>
        <w:t xml:space="preserve"> top ten</w:t>
      </w:r>
      <w:r>
        <w:rPr>
          <w:rFonts w:eastAsia="Times New Roman"/>
          <w:color w:val="000000" w:themeColor="text1"/>
          <w:kern w:val="0"/>
          <w14:ligatures w14:val="none"/>
        </w:rPr>
        <w:t xml:space="preserve"> priorities and their expectations from OCC as a landlord.  These are summarised as </w:t>
      </w:r>
      <w:proofErr w:type="gramStart"/>
      <w:r>
        <w:rPr>
          <w:rFonts w:eastAsia="Times New Roman"/>
          <w:color w:val="000000" w:themeColor="text1"/>
          <w:kern w:val="0"/>
          <w14:ligatures w14:val="none"/>
        </w:rPr>
        <w:t>follows;</w:t>
      </w:r>
      <w:proofErr w:type="gramEnd"/>
      <w:r>
        <w:rPr>
          <w:rFonts w:eastAsia="Times New Roman"/>
          <w:color w:val="000000" w:themeColor="text1"/>
          <w:kern w:val="0"/>
          <w14:ligatures w14:val="none"/>
        </w:rPr>
        <w:t xml:space="preserve"> </w:t>
      </w:r>
    </w:p>
    <w:p w:rsidR="00E33099" w:rsidP="00E33099" w:rsidRDefault="00E33099" w14:paraId="355CDA33" w14:textId="77777777">
      <w:pPr>
        <w:spacing w:after="0" w:line="216" w:lineRule="auto"/>
        <w:ind w:left="0" w:firstLine="0"/>
        <w:rPr>
          <w:rFonts w:eastAsia="Times New Roman"/>
          <w:color w:val="000000" w:themeColor="text1"/>
          <w:kern w:val="0"/>
          <w14:ligatures w14:val="none"/>
        </w:rPr>
      </w:pPr>
    </w:p>
    <w:tbl>
      <w:tblPr>
        <w:tblStyle w:val="TableGrid0"/>
        <w:tblW w:w="0" w:type="auto"/>
        <w:tblLook w:val="04A0" w:firstRow="1" w:lastRow="0" w:firstColumn="1" w:lastColumn="0" w:noHBand="0" w:noVBand="1"/>
      </w:tblPr>
      <w:tblGrid>
        <w:gridCol w:w="562"/>
        <w:gridCol w:w="3686"/>
        <w:gridCol w:w="567"/>
        <w:gridCol w:w="4252"/>
      </w:tblGrid>
      <w:tr w:rsidR="00330605" w:rsidTr="00330605" w14:paraId="60CA768D" w14:textId="77777777">
        <w:tc>
          <w:tcPr>
            <w:tcW w:w="562" w:type="dxa"/>
          </w:tcPr>
          <w:p w:rsidR="00330605" w:rsidP="00E33099" w:rsidRDefault="00330605" w14:paraId="6997E977" w14:textId="0D76FF13">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1.</w:t>
            </w:r>
          </w:p>
        </w:tc>
        <w:tc>
          <w:tcPr>
            <w:tcW w:w="3686" w:type="dxa"/>
          </w:tcPr>
          <w:p w:rsidR="00330605" w:rsidP="00E33099" w:rsidRDefault="00330605" w14:paraId="03E4624F" w14:textId="3478FCE0">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Building safety</w:t>
            </w:r>
          </w:p>
        </w:tc>
        <w:tc>
          <w:tcPr>
            <w:tcW w:w="567" w:type="dxa"/>
          </w:tcPr>
          <w:p w:rsidR="00330605" w:rsidP="00E33099" w:rsidRDefault="00330605" w14:paraId="6B9C2FA3" w14:textId="49906980">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6.</w:t>
            </w:r>
          </w:p>
        </w:tc>
        <w:tc>
          <w:tcPr>
            <w:tcW w:w="4252" w:type="dxa"/>
          </w:tcPr>
          <w:p w:rsidR="00330605" w:rsidP="00E33099" w:rsidRDefault="00330605" w14:paraId="61DC703B" w14:textId="5D0429A7">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A landlord service offer</w:t>
            </w:r>
          </w:p>
        </w:tc>
      </w:tr>
      <w:tr w:rsidR="00330605" w:rsidTr="00330605" w14:paraId="4D2DA450" w14:textId="77777777">
        <w:tc>
          <w:tcPr>
            <w:tcW w:w="562" w:type="dxa"/>
          </w:tcPr>
          <w:p w:rsidR="00330605" w:rsidP="00E33099" w:rsidRDefault="00330605" w14:paraId="5232E75F" w14:textId="60754222">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2.</w:t>
            </w:r>
          </w:p>
        </w:tc>
        <w:tc>
          <w:tcPr>
            <w:tcW w:w="3686" w:type="dxa"/>
          </w:tcPr>
          <w:p w:rsidR="00330605" w:rsidP="00E33099" w:rsidRDefault="00330605" w14:paraId="05E313C9" w14:textId="3A42BDB3">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 xml:space="preserve">Better resident </w:t>
            </w:r>
            <w:r w:rsidR="005A2047">
              <w:rPr>
                <w:rFonts w:eastAsia="Times New Roman"/>
                <w:color w:val="000000" w:themeColor="text1"/>
                <w:kern w:val="0"/>
                <w14:ligatures w14:val="none"/>
              </w:rPr>
              <w:t xml:space="preserve">involvement and </w:t>
            </w:r>
            <w:r w:rsidRPr="00330605">
              <w:rPr>
                <w:rFonts w:eastAsia="Times New Roman"/>
                <w:color w:val="000000" w:themeColor="text1"/>
                <w:kern w:val="0"/>
                <w14:ligatures w14:val="none"/>
              </w:rPr>
              <w:t>engagement</w:t>
            </w:r>
          </w:p>
        </w:tc>
        <w:tc>
          <w:tcPr>
            <w:tcW w:w="567" w:type="dxa"/>
          </w:tcPr>
          <w:p w:rsidR="00330605" w:rsidP="00E33099" w:rsidRDefault="00330605" w14:paraId="737ACB8D" w14:textId="72A89CB3">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7.</w:t>
            </w:r>
          </w:p>
        </w:tc>
        <w:tc>
          <w:tcPr>
            <w:tcW w:w="4252" w:type="dxa"/>
          </w:tcPr>
          <w:p w:rsidR="00330605" w:rsidP="00E33099" w:rsidRDefault="00330605" w14:paraId="48DFCFA4" w14:textId="7CEC3900">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Visible and accessible services</w:t>
            </w:r>
          </w:p>
        </w:tc>
      </w:tr>
      <w:tr w:rsidR="00330605" w:rsidTr="00330605" w14:paraId="292E0D17" w14:textId="77777777">
        <w:tc>
          <w:tcPr>
            <w:tcW w:w="562" w:type="dxa"/>
          </w:tcPr>
          <w:p w:rsidR="00330605" w:rsidP="00E33099" w:rsidRDefault="00330605" w14:paraId="6B0573D1" w14:textId="7CDA5ED6">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3.</w:t>
            </w:r>
          </w:p>
        </w:tc>
        <w:tc>
          <w:tcPr>
            <w:tcW w:w="3686" w:type="dxa"/>
          </w:tcPr>
          <w:p w:rsidR="00330605" w:rsidP="00E33099" w:rsidRDefault="00330605" w14:paraId="4B390233" w14:textId="68668F7A">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Better communication</w:t>
            </w:r>
          </w:p>
        </w:tc>
        <w:tc>
          <w:tcPr>
            <w:tcW w:w="567" w:type="dxa"/>
          </w:tcPr>
          <w:p w:rsidR="00330605" w:rsidP="00E33099" w:rsidRDefault="00330605" w14:paraId="6516404F" w14:textId="5DDFED8A">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8.</w:t>
            </w:r>
          </w:p>
        </w:tc>
        <w:tc>
          <w:tcPr>
            <w:tcW w:w="4252" w:type="dxa"/>
          </w:tcPr>
          <w:p w:rsidR="00330605" w:rsidP="00E33099" w:rsidRDefault="00330605" w14:paraId="21ADF21D" w14:textId="6327908F">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Consistent delivery of services</w:t>
            </w:r>
          </w:p>
        </w:tc>
      </w:tr>
      <w:tr w:rsidR="00330605" w:rsidTr="00330605" w14:paraId="51A5690A" w14:textId="77777777">
        <w:tc>
          <w:tcPr>
            <w:tcW w:w="562" w:type="dxa"/>
          </w:tcPr>
          <w:p w:rsidR="00330605" w:rsidP="00E33099" w:rsidRDefault="00330605" w14:paraId="66B8FAED" w14:textId="6E7AECC6">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4.</w:t>
            </w:r>
          </w:p>
        </w:tc>
        <w:tc>
          <w:tcPr>
            <w:tcW w:w="3686" w:type="dxa"/>
          </w:tcPr>
          <w:p w:rsidR="00330605" w:rsidP="00E33099" w:rsidRDefault="00330605" w14:paraId="617F528D" w14:textId="188477D3">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Better handling of complaints</w:t>
            </w:r>
          </w:p>
        </w:tc>
        <w:tc>
          <w:tcPr>
            <w:tcW w:w="567" w:type="dxa"/>
          </w:tcPr>
          <w:p w:rsidR="00330605" w:rsidP="00E33099" w:rsidRDefault="00330605" w14:paraId="6C8EE01C" w14:textId="29DB51DA">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9.</w:t>
            </w:r>
          </w:p>
        </w:tc>
        <w:tc>
          <w:tcPr>
            <w:tcW w:w="4252" w:type="dxa"/>
          </w:tcPr>
          <w:p w:rsidR="00330605" w:rsidP="00E33099" w:rsidRDefault="00330605" w14:paraId="403879CC" w14:textId="3FCB5E19">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Accessible policies and procedures</w:t>
            </w:r>
          </w:p>
        </w:tc>
      </w:tr>
      <w:tr w:rsidR="00330605" w:rsidTr="00330605" w14:paraId="09F763DE" w14:textId="77777777">
        <w:tc>
          <w:tcPr>
            <w:tcW w:w="562" w:type="dxa"/>
          </w:tcPr>
          <w:p w:rsidR="00330605" w:rsidP="00E33099" w:rsidRDefault="00330605" w14:paraId="51BB8DFB" w14:textId="442C31AF">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5.</w:t>
            </w:r>
          </w:p>
        </w:tc>
        <w:tc>
          <w:tcPr>
            <w:tcW w:w="3686" w:type="dxa"/>
          </w:tcPr>
          <w:p w:rsidR="00330605" w:rsidP="00E33099" w:rsidRDefault="00330605" w14:paraId="2342BEDC" w14:textId="5A2856C6">
            <w:pPr>
              <w:spacing w:after="0" w:line="216" w:lineRule="auto"/>
              <w:ind w:left="0" w:firstLine="0"/>
              <w:rPr>
                <w:rFonts w:eastAsia="Times New Roman"/>
                <w:color w:val="000000" w:themeColor="text1"/>
                <w:kern w:val="0"/>
                <w14:ligatures w14:val="none"/>
              </w:rPr>
            </w:pPr>
            <w:r w:rsidRPr="00330605">
              <w:rPr>
                <w:rFonts w:eastAsia="Times New Roman"/>
                <w:color w:val="000000" w:themeColor="text1"/>
                <w:kern w:val="0"/>
                <w14:ligatures w14:val="none"/>
              </w:rPr>
              <w:t>Better handling of repairs</w:t>
            </w:r>
          </w:p>
        </w:tc>
        <w:tc>
          <w:tcPr>
            <w:tcW w:w="567" w:type="dxa"/>
          </w:tcPr>
          <w:p w:rsidR="00330605" w:rsidP="00E33099" w:rsidRDefault="00330605" w14:paraId="52A0CE3F" w14:textId="17DD8F9E">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10.</w:t>
            </w:r>
          </w:p>
        </w:tc>
        <w:tc>
          <w:tcPr>
            <w:tcW w:w="4252" w:type="dxa"/>
          </w:tcPr>
          <w:p w:rsidR="00330605" w:rsidP="00E33099" w:rsidRDefault="00330605" w14:paraId="7E1515EF" w14:textId="7A47142E">
            <w:pPr>
              <w:spacing w:after="0" w:line="216" w:lineRule="auto"/>
              <w:ind w:left="0" w:firstLine="0"/>
              <w:rPr>
                <w:rFonts w:eastAsia="Times New Roman"/>
                <w:color w:val="000000" w:themeColor="text1"/>
                <w:kern w:val="0"/>
                <w14:ligatures w14:val="none"/>
              </w:rPr>
            </w:pPr>
            <w:r>
              <w:rPr>
                <w:rFonts w:eastAsia="Times New Roman"/>
                <w:color w:val="000000" w:themeColor="text1"/>
                <w:kern w:val="0"/>
                <w14:ligatures w14:val="none"/>
              </w:rPr>
              <w:t>Training and support</w:t>
            </w:r>
          </w:p>
        </w:tc>
      </w:tr>
    </w:tbl>
    <w:p w:rsidR="00330605" w:rsidP="00E33099" w:rsidRDefault="00330605" w14:paraId="6DE51CDF" w14:textId="77777777">
      <w:pPr>
        <w:spacing w:after="0" w:line="216" w:lineRule="auto"/>
        <w:ind w:left="0" w:firstLine="0"/>
        <w:rPr>
          <w:rFonts w:eastAsia="Times New Roman"/>
          <w:color w:val="000000" w:themeColor="text1"/>
          <w:kern w:val="0"/>
          <w14:ligatures w14:val="none"/>
        </w:rPr>
      </w:pPr>
    </w:p>
    <w:p w:rsidRPr="00F74B89" w:rsidR="006D7ACF" w:rsidP="00F74B89" w:rsidRDefault="00330605" w14:paraId="33503D40" w14:textId="0D3E03FA">
      <w:pPr>
        <w:pStyle w:val="NoSpacing"/>
        <w:numPr>
          <w:ilvl w:val="0"/>
          <w:numId w:val="2"/>
        </w:numPr>
        <w:ind w:right="707" w:hanging="360"/>
        <w:rPr>
          <w:b/>
          <w:bCs/>
        </w:rPr>
      </w:pPr>
      <w:r w:rsidRPr="00F74B89">
        <w:t xml:space="preserve">Understanding </w:t>
      </w:r>
      <w:r w:rsidRPr="00F74B89" w:rsidR="007D0D16">
        <w:t>residents’</w:t>
      </w:r>
      <w:r w:rsidRPr="00F74B89" w:rsidR="00F74B89">
        <w:t xml:space="preserve"> needs and their priorities forms a fundamental part of this strategy and this has also guided </w:t>
      </w:r>
      <w:r w:rsidRPr="00F74B89" w:rsidR="00F74B89">
        <w:rPr>
          <w:color w:val="000000" w:themeColor="text1"/>
        </w:rPr>
        <w:t xml:space="preserve">the </w:t>
      </w:r>
      <w:r w:rsidR="00F74B89">
        <w:rPr>
          <w:color w:val="000000" w:themeColor="text1"/>
        </w:rPr>
        <w:t>development of</w:t>
      </w:r>
      <w:r w:rsidR="007D0D16">
        <w:rPr>
          <w:color w:val="000000" w:themeColor="text1"/>
        </w:rPr>
        <w:t xml:space="preserve"> the </w:t>
      </w:r>
      <w:r w:rsidRPr="00F74B89" w:rsidR="00F74B89">
        <w:rPr>
          <w:color w:val="000000" w:themeColor="text1"/>
        </w:rPr>
        <w:t>strateg</w:t>
      </w:r>
      <w:r w:rsidR="00F74B89">
        <w:rPr>
          <w:color w:val="000000" w:themeColor="text1"/>
        </w:rPr>
        <w:t xml:space="preserve">ic proposals, vision and </w:t>
      </w:r>
      <w:r w:rsidRPr="00F74B89" w:rsidR="00F74B89">
        <w:rPr>
          <w:color w:val="000000" w:themeColor="text1"/>
        </w:rPr>
        <w:t>priorities</w:t>
      </w:r>
      <w:r w:rsidR="00F74B89">
        <w:rPr>
          <w:color w:val="000000" w:themeColor="text1"/>
        </w:rPr>
        <w:t xml:space="preserve"> for residents</w:t>
      </w:r>
      <w:r w:rsidRPr="00F74B89" w:rsidR="00F74B89">
        <w:rPr>
          <w:color w:val="000000" w:themeColor="text1"/>
        </w:rPr>
        <w:t>.</w:t>
      </w:r>
    </w:p>
    <w:p w:rsidRPr="00F74B89" w:rsidR="00F74B89" w:rsidP="00F74B89" w:rsidRDefault="00F74B89" w14:paraId="75DED54E" w14:textId="76B795E6">
      <w:pPr>
        <w:pStyle w:val="NoSpacing"/>
        <w:ind w:left="0" w:right="707" w:firstLine="0"/>
        <w:rPr>
          <w:b/>
          <w:bCs/>
        </w:rPr>
      </w:pPr>
    </w:p>
    <w:p w:rsidRPr="00BC6832" w:rsidR="00F74B89" w:rsidP="00EB6FEC" w:rsidRDefault="00F74B89" w14:paraId="2C113FDA" w14:textId="26C9E9DE">
      <w:pPr>
        <w:pStyle w:val="NoSpacing"/>
        <w:ind w:left="0" w:right="707" w:firstLine="0"/>
        <w:rPr>
          <w:b/>
          <w:bCs/>
          <w:i/>
          <w:iCs/>
        </w:rPr>
      </w:pPr>
      <w:r w:rsidRPr="00EB6FEC">
        <w:rPr>
          <w:b/>
          <w:bCs/>
          <w:color w:val="000000" w:themeColor="text1"/>
        </w:rPr>
        <w:t xml:space="preserve">Proposals for resetting resident engagement </w:t>
      </w:r>
      <w:r w:rsidRPr="00BC6832">
        <w:rPr>
          <w:b/>
          <w:bCs/>
          <w:i/>
          <w:iCs/>
          <w:color w:val="000000" w:themeColor="text1"/>
        </w:rPr>
        <w:t xml:space="preserve">– </w:t>
      </w:r>
      <w:r w:rsidRPr="00BC6832" w:rsidR="00EB6FEC">
        <w:rPr>
          <w:b/>
          <w:bCs/>
          <w:i/>
          <w:iCs/>
          <w:color w:val="000000" w:themeColor="text1"/>
        </w:rPr>
        <w:t xml:space="preserve">A resident </w:t>
      </w:r>
      <w:r w:rsidRPr="00BC6832" w:rsidR="005A2047">
        <w:rPr>
          <w:b/>
          <w:bCs/>
          <w:i/>
          <w:iCs/>
          <w:color w:val="000000" w:themeColor="text1"/>
        </w:rPr>
        <w:t xml:space="preserve">involvement and </w:t>
      </w:r>
      <w:r w:rsidRPr="00BC6832" w:rsidR="00EB6FEC">
        <w:rPr>
          <w:b/>
          <w:bCs/>
          <w:i/>
          <w:iCs/>
          <w:color w:val="000000" w:themeColor="text1"/>
        </w:rPr>
        <w:t xml:space="preserve">engagement offer </w:t>
      </w:r>
    </w:p>
    <w:p w:rsidR="00EB6FEC" w:rsidP="00EB6FEC" w:rsidRDefault="00EB6FEC" w14:paraId="7DC6348A" w14:textId="77777777">
      <w:pPr>
        <w:pStyle w:val="ListParagraph"/>
        <w:ind w:left="0" w:firstLine="0"/>
        <w:rPr>
          <w:rFonts w:ascii="Calibri" w:hAnsi="Calibri" w:cs="Calibri"/>
        </w:rPr>
      </w:pPr>
    </w:p>
    <w:p w:rsidR="00EB6FEC" w:rsidP="00EB6FEC" w:rsidRDefault="00EB6FEC" w14:paraId="3A12CBF3" w14:textId="0662A617">
      <w:pPr>
        <w:pStyle w:val="ListParagraph"/>
        <w:numPr>
          <w:ilvl w:val="0"/>
          <w:numId w:val="2"/>
        </w:numPr>
      </w:pPr>
      <w:r w:rsidRPr="00EB6FEC">
        <w:t xml:space="preserve">This strategy proposes an outline of a new more structured resident </w:t>
      </w:r>
      <w:r w:rsidR="003F3EF9">
        <w:t xml:space="preserve">involvement and </w:t>
      </w:r>
      <w:r w:rsidRPr="00EB6FEC">
        <w:t xml:space="preserve">engagement offer </w:t>
      </w:r>
      <w:r w:rsidRPr="00EB6FEC" w:rsidR="00796585">
        <w:t>- which</w:t>
      </w:r>
      <w:r w:rsidRPr="00EB6FEC">
        <w:t xml:space="preserve"> </w:t>
      </w:r>
      <w:r w:rsidR="00552387">
        <w:t>has been</w:t>
      </w:r>
      <w:r w:rsidRPr="00EB6FEC">
        <w:t xml:space="preserve"> </w:t>
      </w:r>
      <w:r w:rsidR="00A93757">
        <w:t xml:space="preserve">jointly developed with </w:t>
      </w:r>
      <w:r w:rsidRPr="00EB6FEC">
        <w:t xml:space="preserve">residents throughout the design process. The core aim </w:t>
      </w:r>
      <w:r w:rsidR="00A93757">
        <w:t>has been to</w:t>
      </w:r>
      <w:r w:rsidRPr="00EB6FEC">
        <w:t xml:space="preserve"> provide a variety of platforms that can cater to the diverse needs and preferences of our residents.</w:t>
      </w:r>
    </w:p>
    <w:p w:rsidRPr="00EB6FEC" w:rsidR="004F26D8" w:rsidP="004F26D8" w:rsidRDefault="004F26D8" w14:paraId="4689472F" w14:textId="77777777">
      <w:pPr>
        <w:pStyle w:val="ListParagraph"/>
        <w:ind w:left="0" w:firstLine="0"/>
      </w:pPr>
    </w:p>
    <w:p w:rsidRPr="00EB6FEC" w:rsidR="00EB6FEC" w:rsidP="00A96BB9" w:rsidRDefault="00EB6FEC" w14:paraId="36CCA8CF" w14:noSpellErr="1" w14:textId="188B35DE">
      <w:pPr>
        <w:pStyle w:val="ListParagraph"/>
        <w:numPr>
          <w:ilvl w:val="0"/>
          <w:numId w:val="2"/>
        </w:numPr>
        <w:rPr/>
      </w:pPr>
      <w:r w:rsidR="00EB6FEC">
        <w:rPr/>
        <w:t xml:space="preserve">This </w:t>
      </w:r>
      <w:r w:rsidR="00672A9D">
        <w:rPr/>
        <w:t xml:space="preserve">approach </w:t>
      </w:r>
      <w:r w:rsidR="00EB6FEC">
        <w:rPr/>
        <w:t xml:space="preserve">encompasses both ‘formal’ </w:t>
      </w:r>
      <w:r w:rsidR="4EE404D3">
        <w:rPr/>
        <w:t>C</w:t>
      </w:r>
      <w:r w:rsidR="00EB6FEC">
        <w:rPr/>
        <w:t xml:space="preserve">ouncil-wide structures and more ‘informal’ local, one-off opportunities. We expect that the formal mechanisms will enable residents to </w:t>
      </w:r>
      <w:r w:rsidR="00EB6FEC">
        <w:rPr/>
        <w:t>participate</w:t>
      </w:r>
      <w:r w:rsidR="00EB6FEC">
        <w:rPr/>
        <w:t xml:space="preserve"> in structured, ongoing involvement at a </w:t>
      </w:r>
      <w:r w:rsidR="6D4C2290">
        <w:rPr/>
        <w:t>C</w:t>
      </w:r>
      <w:r w:rsidR="12E281DC">
        <w:rPr/>
        <w:t xml:space="preserve">ouncil-wide </w:t>
      </w:r>
      <w:r w:rsidR="00EB6FEC">
        <w:rPr/>
        <w:t xml:space="preserve">level, ensuring their voices contribute to major decisions and policy development. In contrast, informal opportunities are set out to be more accessible and flexible, allowing residents to engage on an ad hoc basis within their local communities when it suits them best. By offering a range of engagement options, our approach ensures that all residents—regardless of their level of interest or availability—have meaningful opportunities to have their say and influence the services they receive. This dual approach underpins our commitment to fostering a genuinely inclusive and responsive resident engagement culture. </w:t>
      </w:r>
    </w:p>
    <w:p w:rsidR="00EB6FEC" w:rsidP="00EB6FEC" w:rsidRDefault="00EB6FEC" w14:paraId="337ECDED" w14:textId="77777777">
      <w:pPr>
        <w:pStyle w:val="NoSpacing"/>
        <w:ind w:left="0" w:right="707" w:firstLine="0"/>
        <w:rPr>
          <w:b/>
          <w:bCs/>
        </w:rPr>
      </w:pPr>
    </w:p>
    <w:p w:rsidRPr="00EB6FEC" w:rsidR="00EB6FEC" w:rsidP="00EB6FEC" w:rsidRDefault="00EB6FEC" w14:paraId="19992774" w14:textId="693CD072">
      <w:pPr>
        <w:pStyle w:val="NoSpacing"/>
        <w:ind w:left="0" w:right="707" w:firstLine="0"/>
        <w:rPr>
          <w:b/>
          <w:bCs/>
        </w:rPr>
      </w:pPr>
      <w:r>
        <w:rPr>
          <w:b/>
          <w:bCs/>
        </w:rPr>
        <w:t xml:space="preserve">A vision for resident </w:t>
      </w:r>
      <w:r w:rsidR="003F3EF9">
        <w:rPr>
          <w:b/>
          <w:bCs/>
        </w:rPr>
        <w:t xml:space="preserve">involvement and </w:t>
      </w:r>
      <w:r>
        <w:rPr>
          <w:b/>
          <w:bCs/>
        </w:rPr>
        <w:t xml:space="preserve">engagement </w:t>
      </w:r>
    </w:p>
    <w:p w:rsidRPr="00EB6FEC" w:rsidR="00EB6FEC" w:rsidP="00EB6FEC" w:rsidRDefault="00EB6FEC" w14:paraId="34CCAA70" w14:textId="77777777">
      <w:pPr>
        <w:pStyle w:val="NoSpacing"/>
        <w:ind w:right="707"/>
        <w:rPr>
          <w:b/>
          <w:bCs/>
        </w:rPr>
      </w:pPr>
    </w:p>
    <w:p w:rsidRPr="000C708D" w:rsidR="000C708D" w:rsidP="000C708D" w:rsidRDefault="000C708D" w14:noSpellErr="1" w14:paraId="3C684FD3" w14:textId="52EE0698">
      <w:pPr>
        <w:pStyle w:val="NoSpacing"/>
        <w:numPr>
          <w:ilvl w:val="0"/>
          <w:numId w:val="2"/>
        </w:numPr>
        <w:ind w:right="707" w:hanging="360"/>
        <w:rPr>
          <w:rFonts w:ascii="Calibri" w:hAnsi="Calibri" w:cs="Calibri"/>
          <w:b w:val="1"/>
          <w:bCs w:val="1"/>
          <w:color w:val="747474" w:themeColor="background2" w:themeShade="80"/>
        </w:rPr>
      </w:pPr>
      <w:r w:rsidR="000C708D">
        <w:rPr/>
        <w:t xml:space="preserve">Taking in consideration </w:t>
      </w:r>
      <w:r w:rsidR="00BC6832">
        <w:rPr/>
        <w:t>the feedback</w:t>
      </w:r>
      <w:r w:rsidR="000C708D">
        <w:rPr/>
        <w:t xml:space="preserve"> from residents, the challenges</w:t>
      </w:r>
      <w:r w:rsidR="00BC6832">
        <w:rPr/>
        <w:t xml:space="preserve"> </w:t>
      </w:r>
      <w:r w:rsidR="000C708D">
        <w:rPr/>
        <w:t xml:space="preserve">they face, their </w:t>
      </w:r>
      <w:r w:rsidR="001F7BC1">
        <w:rPr/>
        <w:t xml:space="preserve">expectations from OCC as a landlord </w:t>
      </w:r>
      <w:r w:rsidR="000C708D">
        <w:rPr/>
        <w:t xml:space="preserve">has enabled the </w:t>
      </w:r>
      <w:r w:rsidR="007A4C05">
        <w:rPr/>
        <w:t xml:space="preserve">creation of our </w:t>
      </w:r>
      <w:r w:rsidR="000C708D">
        <w:rPr/>
        <w:t>vision</w:t>
      </w:r>
      <w:r w:rsidR="007A4C05">
        <w:rPr/>
        <w:t xml:space="preserve"> for residents and reflected in</w:t>
      </w:r>
      <w:r w:rsidR="00316D3F">
        <w:rPr/>
        <w:t xml:space="preserve"> the</w:t>
      </w:r>
      <w:r w:rsidR="000C708D">
        <w:rPr/>
        <w:t xml:space="preserve"> </w:t>
      </w:r>
      <w:r w:rsidR="001F7BC1">
        <w:rPr/>
        <w:t>strategy</w:t>
      </w:r>
      <w:r w:rsidR="2FC797B6">
        <w:rPr/>
        <w:t>:</w:t>
      </w:r>
    </w:p>
    <w:p w:rsidRPr="000C708D" w:rsidR="000C708D" w:rsidP="7C22F20C" w:rsidRDefault="000C708D" w14:paraId="2914AD63" w14:textId="22BAA67B">
      <w:pPr>
        <w:pStyle w:val="NoSpacing"/>
        <w:ind w:left="0" w:right="707" w:hanging="360"/>
        <w:rPr>
          <w:rFonts w:ascii="Calibri" w:hAnsi="Calibri" w:cs="Calibri"/>
          <w:b w:val="1"/>
          <w:bCs w:val="1"/>
          <w:color w:val="747474" w:themeColor="background2" w:themeShade="80"/>
        </w:rPr>
      </w:pPr>
      <w:r w:rsidR="000C708D">
        <w:rPr/>
        <w:t xml:space="preserve"> </w:t>
      </w:r>
      <w:r w:rsidRPr="7C22F20C" w:rsidR="00EB6FEC">
        <w:rPr>
          <w:rFonts w:ascii="Calibri" w:hAnsi="Calibri" w:cs="Calibri"/>
          <w:color w:val="2D3547"/>
        </w:rPr>
        <w:t xml:space="preserve">  </w:t>
      </w:r>
    </w:p>
    <w:p w:rsidRPr="00316D3F" w:rsidR="000C708D" w:rsidP="00316D3F" w:rsidRDefault="000C708D" w14:paraId="0D86584D" w14:textId="5954FCE1">
      <w:pPr>
        <w:pStyle w:val="NoSpacing"/>
        <w:ind w:left="0" w:right="707" w:firstLine="0"/>
        <w:jc w:val="center"/>
        <w:rPr>
          <w:b/>
          <w:bCs/>
          <w:i/>
          <w:iCs/>
          <w:color w:val="000000" w:themeColor="text1"/>
          <w:sz w:val="22"/>
          <w:szCs w:val="22"/>
        </w:rPr>
      </w:pPr>
      <w:r w:rsidRPr="00316D3F">
        <w:rPr>
          <w:b/>
          <w:bCs/>
          <w:i/>
          <w:iCs/>
          <w:color w:val="000000" w:themeColor="text1"/>
          <w:sz w:val="22"/>
          <w:szCs w:val="22"/>
        </w:rPr>
        <w:t>“We will work to enable every opportunity for residents to engage with us in ways that suit them, delivering meaningful and outcome-focused resident involvement where they can influence, scrutinise and shape the delivery of the services they receive”</w:t>
      </w:r>
    </w:p>
    <w:p w:rsidR="000C708D" w:rsidP="000C708D" w:rsidRDefault="000C708D" w14:paraId="45995C8E" w14:textId="77777777">
      <w:pPr>
        <w:pStyle w:val="NoSpacing"/>
        <w:ind w:left="0" w:right="707" w:firstLine="0"/>
        <w:jc w:val="center"/>
        <w:rPr>
          <w:rFonts w:ascii="Calibri" w:hAnsi="Calibri" w:cs="Calibri"/>
          <w:i/>
          <w:iCs/>
          <w:color w:val="747474" w:themeColor="background2" w:themeShade="80"/>
        </w:rPr>
      </w:pPr>
    </w:p>
    <w:p w:rsidRPr="001F7BC1" w:rsidR="000C708D" w:rsidP="000C708D" w:rsidRDefault="000C708D" w14:paraId="2238ABB2" w14:textId="21A4F9E7">
      <w:pPr>
        <w:pStyle w:val="NoSpacing"/>
        <w:numPr>
          <w:ilvl w:val="0"/>
          <w:numId w:val="2"/>
        </w:numPr>
        <w:ind w:right="707" w:hanging="360"/>
        <w:rPr>
          <w:color w:val="000000" w:themeColor="text1"/>
        </w:rPr>
      </w:pPr>
      <w:r w:rsidRPr="001F7BC1">
        <w:rPr>
          <w:color w:val="000000" w:themeColor="text1"/>
        </w:rPr>
        <w:t xml:space="preserve"> </w:t>
      </w:r>
      <w:r w:rsidRPr="001F7BC1" w:rsidR="001F7BC1">
        <w:rPr>
          <w:color w:val="000000" w:themeColor="text1"/>
        </w:rPr>
        <w:t xml:space="preserve">In setting out </w:t>
      </w:r>
      <w:r w:rsidR="00CA161C">
        <w:rPr>
          <w:color w:val="000000" w:themeColor="text1"/>
        </w:rPr>
        <w:t>the</w:t>
      </w:r>
      <w:r w:rsidRPr="001F7BC1" w:rsidR="001F7BC1">
        <w:rPr>
          <w:color w:val="000000" w:themeColor="text1"/>
        </w:rPr>
        <w:t xml:space="preserve"> vision, this has naturally led to developing our </w:t>
      </w:r>
      <w:r w:rsidRPr="001F7BC1">
        <w:rPr>
          <w:color w:val="000000" w:themeColor="text1"/>
        </w:rPr>
        <w:t xml:space="preserve">five strategic priorities that we will seek to deliver </w:t>
      </w:r>
      <w:r w:rsidRPr="001F7BC1" w:rsidR="001F7BC1">
        <w:rPr>
          <w:color w:val="000000" w:themeColor="text1"/>
        </w:rPr>
        <w:t xml:space="preserve">through this </w:t>
      </w:r>
      <w:r w:rsidRPr="0019171C" w:rsidR="001F7BC1">
        <w:rPr>
          <w:color w:val="000000" w:themeColor="text1"/>
        </w:rPr>
        <w:t xml:space="preserve">strategy </w:t>
      </w:r>
      <w:r w:rsidRPr="0019171C">
        <w:rPr>
          <w:color w:val="000000" w:themeColor="text1"/>
        </w:rPr>
        <w:t>over the next two years</w:t>
      </w:r>
      <w:r w:rsidRPr="0019171C" w:rsidR="001F7BC1">
        <w:rPr>
          <w:color w:val="000000" w:themeColor="text1"/>
        </w:rPr>
        <w:t xml:space="preserve"> – 2025/2</w:t>
      </w:r>
      <w:r w:rsidRPr="0019171C" w:rsidR="003F3EF9">
        <w:rPr>
          <w:color w:val="000000" w:themeColor="text1"/>
        </w:rPr>
        <w:t>8</w:t>
      </w:r>
    </w:p>
    <w:p w:rsidRPr="000C708D" w:rsidR="000C708D" w:rsidP="000C708D" w:rsidRDefault="000C708D" w14:paraId="7517F729" w14:textId="5D1EBAB8">
      <w:pPr>
        <w:pStyle w:val="NoSpacing"/>
        <w:ind w:right="707"/>
        <w:rPr>
          <w:rFonts w:ascii="Calibri" w:hAnsi="Calibri" w:cs="Calibri"/>
          <w:b/>
          <w:bCs/>
          <w:color w:val="747474" w:themeColor="background2" w:themeShade="80"/>
        </w:rPr>
      </w:pPr>
      <w:r w:rsidRPr="000C708D">
        <w:rPr>
          <w:rFonts w:ascii="Calibri" w:hAnsi="Calibri" w:cs="Calibri"/>
          <w:color w:val="2D3547"/>
        </w:rPr>
        <w:t xml:space="preserve">  </w:t>
      </w:r>
    </w:p>
    <w:tbl>
      <w:tblPr>
        <w:tblStyle w:val="TableGrid0"/>
        <w:tblW w:w="10278" w:type="dxa"/>
        <w:tblInd w:w="-113" w:type="dxa"/>
        <w:tblLook w:val="04A0" w:firstRow="1" w:lastRow="0" w:firstColumn="1" w:lastColumn="0" w:noHBand="0" w:noVBand="1"/>
      </w:tblPr>
      <w:tblGrid>
        <w:gridCol w:w="2008"/>
        <w:gridCol w:w="2163"/>
        <w:gridCol w:w="2033"/>
        <w:gridCol w:w="1968"/>
        <w:gridCol w:w="2106"/>
      </w:tblGrid>
      <w:tr w:rsidR="001F7BC1" w:rsidTr="00DA7AEC" w14:paraId="481E9F58" w14:textId="77777777">
        <w:trPr>
          <w:trHeight w:val="278"/>
        </w:trPr>
        <w:tc>
          <w:tcPr>
            <w:tcW w:w="2008" w:type="dxa"/>
            <w:shd w:val="clear" w:color="auto" w:fill="D9D9D9" w:themeFill="background1" w:themeFillShade="D9"/>
          </w:tcPr>
          <w:p w:rsidRPr="00DA7AEC" w:rsidR="000C708D" w:rsidP="001F7BC1" w:rsidRDefault="000C708D" w14:paraId="33038962" w14:textId="5F5D8F43">
            <w:pPr>
              <w:pStyle w:val="NoSpacing"/>
              <w:ind w:left="0" w:right="707" w:firstLine="0"/>
              <w:rPr>
                <w:b/>
                <w:bCs/>
                <w:sz w:val="20"/>
                <w:szCs w:val="20"/>
              </w:rPr>
            </w:pPr>
            <w:r w:rsidRPr="00DA7AEC">
              <w:rPr>
                <w:b/>
                <w:bCs/>
                <w:sz w:val="20"/>
                <w:szCs w:val="20"/>
              </w:rPr>
              <w:t>Priority 1</w:t>
            </w:r>
          </w:p>
        </w:tc>
        <w:tc>
          <w:tcPr>
            <w:tcW w:w="2163" w:type="dxa"/>
            <w:shd w:val="clear" w:color="auto" w:fill="D9D9D9" w:themeFill="background1" w:themeFillShade="D9"/>
          </w:tcPr>
          <w:p w:rsidRPr="00DA7AEC" w:rsidR="000C708D" w:rsidP="001F7BC1" w:rsidRDefault="000C708D" w14:paraId="29BA515D" w14:textId="3E783D11">
            <w:pPr>
              <w:pStyle w:val="NoSpacing"/>
              <w:ind w:left="0" w:right="707" w:firstLine="0"/>
              <w:rPr>
                <w:b/>
                <w:bCs/>
                <w:sz w:val="20"/>
                <w:szCs w:val="20"/>
              </w:rPr>
            </w:pPr>
            <w:r w:rsidRPr="00DA7AEC">
              <w:rPr>
                <w:b/>
                <w:bCs/>
                <w:sz w:val="20"/>
                <w:szCs w:val="20"/>
              </w:rPr>
              <w:t>Priority 2</w:t>
            </w:r>
          </w:p>
        </w:tc>
        <w:tc>
          <w:tcPr>
            <w:tcW w:w="2033" w:type="dxa"/>
            <w:shd w:val="clear" w:color="auto" w:fill="D9D9D9" w:themeFill="background1" w:themeFillShade="D9"/>
          </w:tcPr>
          <w:p w:rsidRPr="00DA7AEC" w:rsidR="000C708D" w:rsidP="001F7BC1" w:rsidRDefault="000C708D" w14:paraId="6BD031AD" w14:textId="2D68E623">
            <w:pPr>
              <w:pStyle w:val="NoSpacing"/>
              <w:ind w:left="0" w:right="707" w:firstLine="0"/>
              <w:rPr>
                <w:b/>
                <w:bCs/>
                <w:sz w:val="20"/>
                <w:szCs w:val="20"/>
              </w:rPr>
            </w:pPr>
            <w:r w:rsidRPr="00DA7AEC">
              <w:rPr>
                <w:b/>
                <w:bCs/>
                <w:sz w:val="20"/>
                <w:szCs w:val="20"/>
              </w:rPr>
              <w:t xml:space="preserve">Priority </w:t>
            </w:r>
            <w:r w:rsidRPr="00DA7AEC" w:rsidR="001F7BC1">
              <w:rPr>
                <w:b/>
                <w:bCs/>
                <w:sz w:val="20"/>
                <w:szCs w:val="20"/>
              </w:rPr>
              <w:t>3</w:t>
            </w:r>
          </w:p>
        </w:tc>
        <w:tc>
          <w:tcPr>
            <w:tcW w:w="1968" w:type="dxa"/>
            <w:shd w:val="clear" w:color="auto" w:fill="D9D9D9" w:themeFill="background1" w:themeFillShade="D9"/>
          </w:tcPr>
          <w:p w:rsidRPr="00DA7AEC" w:rsidR="000C708D" w:rsidP="001F7BC1" w:rsidRDefault="000C708D" w14:paraId="2D0EB255" w14:textId="3ABE3FEE">
            <w:pPr>
              <w:pStyle w:val="NoSpacing"/>
              <w:ind w:left="0" w:right="707" w:firstLine="0"/>
              <w:rPr>
                <w:b/>
                <w:bCs/>
                <w:sz w:val="20"/>
                <w:szCs w:val="20"/>
              </w:rPr>
            </w:pPr>
            <w:r w:rsidRPr="00DA7AEC">
              <w:rPr>
                <w:b/>
                <w:bCs/>
                <w:sz w:val="20"/>
                <w:szCs w:val="20"/>
              </w:rPr>
              <w:t>Priority 4</w:t>
            </w:r>
          </w:p>
        </w:tc>
        <w:tc>
          <w:tcPr>
            <w:tcW w:w="2106" w:type="dxa"/>
            <w:shd w:val="clear" w:color="auto" w:fill="D9D9D9" w:themeFill="background1" w:themeFillShade="D9"/>
          </w:tcPr>
          <w:p w:rsidRPr="00DA7AEC" w:rsidR="000C708D" w:rsidP="001F7BC1" w:rsidRDefault="000C708D" w14:paraId="27DC43B8" w14:textId="2F9767B5">
            <w:pPr>
              <w:pStyle w:val="NoSpacing"/>
              <w:ind w:left="0" w:right="707" w:firstLine="0"/>
              <w:rPr>
                <w:b/>
                <w:bCs/>
                <w:sz w:val="20"/>
                <w:szCs w:val="20"/>
              </w:rPr>
            </w:pPr>
            <w:r w:rsidRPr="00DA7AEC">
              <w:rPr>
                <w:b/>
                <w:bCs/>
                <w:sz w:val="20"/>
                <w:szCs w:val="20"/>
              </w:rPr>
              <w:t>Priority 5</w:t>
            </w:r>
          </w:p>
        </w:tc>
      </w:tr>
      <w:tr w:rsidR="001F7BC1" w:rsidTr="00DA7AEC" w14:paraId="256D496D" w14:textId="77777777">
        <w:trPr>
          <w:trHeight w:val="2535"/>
        </w:trPr>
        <w:tc>
          <w:tcPr>
            <w:tcW w:w="2008" w:type="dxa"/>
          </w:tcPr>
          <w:p w:rsidRPr="001F7BC1" w:rsidR="000C708D" w:rsidP="001F7BC1" w:rsidRDefault="000C708D" w14:paraId="59D3C0F8" w14:textId="7427987F">
            <w:pPr>
              <w:ind w:left="216" w:firstLine="0"/>
              <w:rPr>
                <w:sz w:val="20"/>
                <w:szCs w:val="20"/>
              </w:rPr>
            </w:pPr>
            <w:r w:rsidRPr="001F7BC1">
              <w:rPr>
                <w:sz w:val="20"/>
                <w:szCs w:val="20"/>
              </w:rPr>
              <w:t>Establish and embed the right foundations and culture for meaningful resident engagement and involvement</w:t>
            </w:r>
          </w:p>
        </w:tc>
        <w:tc>
          <w:tcPr>
            <w:tcW w:w="2163" w:type="dxa"/>
          </w:tcPr>
          <w:p w:rsidRPr="001F7BC1" w:rsidR="000C708D" w:rsidP="001F7BC1" w:rsidRDefault="000C708D" w14:paraId="2B9EC74E" w14:textId="348BFEF2">
            <w:pPr>
              <w:ind w:left="216" w:firstLine="0"/>
              <w:rPr>
                <w:sz w:val="20"/>
                <w:szCs w:val="20"/>
              </w:rPr>
            </w:pPr>
            <w:r w:rsidRPr="001F7BC1">
              <w:rPr>
                <w:sz w:val="20"/>
                <w:szCs w:val="20"/>
              </w:rPr>
              <w:t>Establish meaningful resident engagement platforms that are representative and inclusive of our resident community</w:t>
            </w:r>
          </w:p>
        </w:tc>
        <w:tc>
          <w:tcPr>
            <w:tcW w:w="2033" w:type="dxa"/>
          </w:tcPr>
          <w:p w:rsidRPr="001F7BC1" w:rsidR="000C708D" w:rsidP="001F7BC1" w:rsidRDefault="000C708D" w14:paraId="0550D3AE" w14:textId="43FD952C">
            <w:pPr>
              <w:ind w:left="216" w:firstLine="0"/>
              <w:rPr>
                <w:sz w:val="20"/>
                <w:szCs w:val="20"/>
              </w:rPr>
            </w:pPr>
            <w:r w:rsidRPr="001F7BC1">
              <w:rPr>
                <w:sz w:val="20"/>
                <w:szCs w:val="20"/>
              </w:rPr>
              <w:t>Develop our knowledge about our residents to deliver services that better meets their needs</w:t>
            </w:r>
          </w:p>
        </w:tc>
        <w:tc>
          <w:tcPr>
            <w:tcW w:w="1968" w:type="dxa"/>
          </w:tcPr>
          <w:p w:rsidRPr="001F7BC1" w:rsidR="000C708D" w:rsidP="001F7BC1" w:rsidRDefault="000C708D" w14:paraId="08D5739C" w14:textId="4E7E88F1">
            <w:pPr>
              <w:ind w:left="216" w:firstLine="0"/>
              <w:rPr>
                <w:sz w:val="20"/>
                <w:szCs w:val="20"/>
              </w:rPr>
            </w:pPr>
            <w:r w:rsidRPr="001F7BC1">
              <w:rPr>
                <w:sz w:val="20"/>
                <w:szCs w:val="20"/>
              </w:rPr>
              <w:t>Review and</w:t>
            </w:r>
            <w:r w:rsidRPr="001F7BC1" w:rsidR="001F7BC1">
              <w:rPr>
                <w:sz w:val="20"/>
                <w:szCs w:val="20"/>
              </w:rPr>
              <w:t xml:space="preserve"> </w:t>
            </w:r>
            <w:r w:rsidRPr="001F7BC1">
              <w:rPr>
                <w:sz w:val="20"/>
                <w:szCs w:val="20"/>
              </w:rPr>
              <w:t xml:space="preserve">strengthen our communication with </w:t>
            </w:r>
            <w:r w:rsidRPr="001F7BC1" w:rsidR="001F7BC1">
              <w:rPr>
                <w:sz w:val="20"/>
                <w:szCs w:val="20"/>
              </w:rPr>
              <w:t>residents</w:t>
            </w:r>
            <w:r w:rsidRPr="001F7BC1">
              <w:rPr>
                <w:sz w:val="20"/>
                <w:szCs w:val="20"/>
              </w:rPr>
              <w:t xml:space="preserve"> to foster respectful engagement that is inclusive and in ways that meets residents needs </w:t>
            </w:r>
          </w:p>
        </w:tc>
        <w:tc>
          <w:tcPr>
            <w:tcW w:w="2106" w:type="dxa"/>
          </w:tcPr>
          <w:p w:rsidRPr="001F7BC1" w:rsidR="000C708D" w:rsidP="001F7BC1" w:rsidRDefault="000C708D" w14:paraId="7FC0E064" w14:textId="25B6BB58">
            <w:pPr>
              <w:ind w:left="216" w:firstLine="0"/>
              <w:rPr>
                <w:sz w:val="20"/>
                <w:szCs w:val="20"/>
              </w:rPr>
            </w:pPr>
            <w:r w:rsidRPr="001F7BC1">
              <w:rPr>
                <w:sz w:val="20"/>
                <w:szCs w:val="20"/>
              </w:rPr>
              <w:t>Deliver high quality landlord services to tenants ensuring these exhibit the right behaviours and outcomes for residents</w:t>
            </w:r>
          </w:p>
        </w:tc>
      </w:tr>
    </w:tbl>
    <w:p w:rsidR="000C708D" w:rsidP="001F7BC1" w:rsidRDefault="000C708D" w14:paraId="49366513" w14:textId="6E3DF8A8">
      <w:pPr>
        <w:ind w:left="0" w:firstLine="0"/>
        <w:rPr>
          <w:rFonts w:ascii="Calibri" w:hAnsi="Calibri" w:cs="Calibri"/>
          <w:color w:val="000000" w:themeColor="text1"/>
        </w:rPr>
      </w:pPr>
    </w:p>
    <w:p w:rsidRPr="00352F35" w:rsidR="001F7BC1" w:rsidP="001F7BC1" w:rsidRDefault="001F7BC1" w14:paraId="25918867" w14:textId="2A09516D">
      <w:pPr>
        <w:ind w:left="0" w:firstLine="0"/>
        <w:rPr>
          <w:b/>
          <w:bCs/>
          <w:color w:val="000000" w:themeColor="text1"/>
          <w:sz w:val="28"/>
          <w:szCs w:val="28"/>
        </w:rPr>
      </w:pPr>
      <w:r w:rsidRPr="00352F35">
        <w:rPr>
          <w:b/>
          <w:bCs/>
          <w:color w:val="000000" w:themeColor="text1"/>
          <w:sz w:val="28"/>
          <w:szCs w:val="28"/>
        </w:rPr>
        <w:t xml:space="preserve">Delivering our strategic priorities and action plan </w:t>
      </w:r>
    </w:p>
    <w:p w:rsidRPr="00352F35" w:rsidR="005C7D2B" w:rsidP="00352F35" w:rsidRDefault="005C7D2B" w14:paraId="4BAE88CD" w14:textId="11CE068B">
      <w:pPr>
        <w:pStyle w:val="NoSpacing"/>
        <w:ind w:left="0" w:right="707" w:firstLine="0"/>
        <w:rPr>
          <w:b/>
          <w:bCs/>
        </w:rPr>
      </w:pPr>
    </w:p>
    <w:p w:rsidRPr="00352F35" w:rsidR="005C7D2B" w:rsidP="005C7D2B" w:rsidRDefault="005C7D2B" w14:paraId="17DF6E10" w14:textId="64D4B420">
      <w:pPr>
        <w:pStyle w:val="NoSpacing"/>
        <w:ind w:left="0" w:right="707" w:firstLine="0"/>
        <w:rPr>
          <w:b/>
          <w:bCs/>
          <w:i/>
          <w:iCs/>
        </w:rPr>
      </w:pPr>
      <w:r w:rsidRPr="00352F35">
        <w:rPr>
          <w:b/>
          <w:bCs/>
          <w:i/>
          <w:iCs/>
        </w:rPr>
        <w:t xml:space="preserve">Empowering residents and supporting staff to deliver </w:t>
      </w:r>
    </w:p>
    <w:p w:rsidR="005C7D2B" w:rsidP="005C7D2B" w:rsidRDefault="005C7D2B" w14:paraId="14404E7A" w14:textId="77777777">
      <w:pPr>
        <w:pStyle w:val="NoSpacing"/>
        <w:ind w:left="0" w:right="707" w:firstLine="0"/>
        <w:rPr>
          <w:b/>
          <w:bCs/>
        </w:rPr>
      </w:pPr>
    </w:p>
    <w:p w:rsidR="00352F35" w:rsidP="00352F35" w:rsidRDefault="00324583" w14:paraId="3CC3452B" w14:textId="25C5F1A8">
      <w:pPr>
        <w:pStyle w:val="NoSpacing"/>
        <w:numPr>
          <w:ilvl w:val="0"/>
          <w:numId w:val="2"/>
        </w:numPr>
        <w:ind w:right="707" w:hanging="360"/>
      </w:pPr>
      <w:r>
        <w:t xml:space="preserve">Throughout the strategy, we </w:t>
      </w:r>
      <w:r w:rsidRPr="00352F35" w:rsidR="00352F35">
        <w:t>recognise that, to ensure meaningful and effective resident involvement</w:t>
      </w:r>
      <w:r w:rsidR="0019171C">
        <w:t xml:space="preserve"> and engagement</w:t>
      </w:r>
      <w:r w:rsidRPr="00352F35" w:rsidR="00352F35">
        <w:t>, we will need to provide residents with appropriate support. This includes offering training opportunities specifically designed to equip them with the knowledge and skills required to carry out their representative and scrutiny roles effectively. We are confident that by providing this support, we will empower our residents to participate confidently, ensuring that their contributions have a real impact on the decisions and improvements that affect their homes and local areas.</w:t>
      </w:r>
    </w:p>
    <w:p w:rsidRPr="00352F35" w:rsidR="00352F35" w:rsidP="00352F35" w:rsidRDefault="00352F35" w14:paraId="24F89568" w14:textId="77777777">
      <w:pPr>
        <w:pStyle w:val="NoSpacing"/>
        <w:ind w:left="0" w:right="707" w:firstLine="0"/>
      </w:pPr>
    </w:p>
    <w:p w:rsidRPr="00352F35" w:rsidR="005C7D2B" w:rsidP="005C7D2B" w:rsidRDefault="005C7D2B" w14:paraId="0F0F2C53" w14:textId="3A2C7D92">
      <w:pPr>
        <w:pStyle w:val="NoSpacing"/>
        <w:numPr>
          <w:ilvl w:val="0"/>
          <w:numId w:val="2"/>
        </w:numPr>
        <w:ind w:right="707" w:hanging="360"/>
        <w:rPr>
          <w:b/>
          <w:bCs/>
        </w:rPr>
      </w:pPr>
      <w:r w:rsidRPr="00352F35">
        <w:t xml:space="preserve">To deliver this strategy, we must also ensure that the right </w:t>
      </w:r>
      <w:r w:rsidR="00352F35">
        <w:t xml:space="preserve">internal </w:t>
      </w:r>
      <w:r w:rsidRPr="00352F35">
        <w:t>resources</w:t>
      </w:r>
      <w:r w:rsidRPr="00352F35" w:rsidR="00AC12ED">
        <w:t xml:space="preserve"> are in place</w:t>
      </w:r>
      <w:r w:rsidRPr="00352F35">
        <w:t xml:space="preserve">. </w:t>
      </w:r>
      <w:r w:rsidRPr="00352F35" w:rsidR="00AC12ED">
        <w:t>The</w:t>
      </w:r>
      <w:r w:rsidRPr="00352F35">
        <w:t xml:space="preserve"> dedicated Resident </w:t>
      </w:r>
      <w:r w:rsidR="0019171C">
        <w:t xml:space="preserve">Involvement and </w:t>
      </w:r>
      <w:r w:rsidRPr="00352F35">
        <w:t xml:space="preserve">Engagement Team will </w:t>
      </w:r>
      <w:r w:rsidRPr="00352F35" w:rsidR="00AC12ED">
        <w:t>support the</w:t>
      </w:r>
      <w:r w:rsidRPr="00352F35">
        <w:t xml:space="preserve"> co-ordinat</w:t>
      </w:r>
      <w:r w:rsidRPr="00352F35" w:rsidR="00AC12ED">
        <w:t>ion</w:t>
      </w:r>
      <w:r w:rsidRPr="00352F35">
        <w:t xml:space="preserve"> </w:t>
      </w:r>
      <w:r w:rsidRPr="00352F35" w:rsidR="00AC12ED">
        <w:t xml:space="preserve">of </w:t>
      </w:r>
      <w:r w:rsidRPr="00352F35">
        <w:t xml:space="preserve">engagement activities and support service teams with practical support.  We will </w:t>
      </w:r>
      <w:r w:rsidRPr="00352F35" w:rsidR="00AC12ED">
        <w:t xml:space="preserve">also </w:t>
      </w:r>
      <w:r w:rsidRPr="00352F35">
        <w:t>ensure that the team is supported and provided with the right training and support to carry out their roles effectively.  The team will also be responsible for working with resident groups to assess the success of this strategy.  Where appropriate, the council will also consider the provision of other resources such as financial and all other associated costs to secure delivery of objectives.</w:t>
      </w:r>
    </w:p>
    <w:p w:rsidRPr="00352F35" w:rsidR="00AC12ED" w:rsidP="00AC12ED" w:rsidRDefault="00AC12ED" w14:paraId="0888FE26" w14:textId="77777777">
      <w:pPr>
        <w:pStyle w:val="NoSpacing"/>
        <w:ind w:left="0" w:right="707" w:firstLine="0"/>
        <w:rPr>
          <w:b/>
          <w:bCs/>
        </w:rPr>
      </w:pPr>
    </w:p>
    <w:p w:rsidR="00352F35" w:rsidP="00352F35" w:rsidRDefault="00352F35" w14:paraId="6D9C2112" w14:textId="54F4035B">
      <w:pPr>
        <w:pStyle w:val="NoSpacing"/>
        <w:ind w:left="0" w:right="707" w:firstLine="0"/>
        <w:rPr>
          <w:b/>
          <w:bCs/>
        </w:rPr>
      </w:pPr>
      <w:r>
        <w:rPr>
          <w:b/>
          <w:bCs/>
        </w:rPr>
        <w:t xml:space="preserve">Monitoring </w:t>
      </w:r>
      <w:r w:rsidR="00DA7AEC">
        <w:rPr>
          <w:b/>
          <w:bCs/>
        </w:rPr>
        <w:t xml:space="preserve">delivery </w:t>
      </w:r>
    </w:p>
    <w:p w:rsidR="005C7D2B" w:rsidP="00352F35" w:rsidRDefault="005C7D2B" w14:paraId="7BF0CD65" w14:textId="4411DCAA">
      <w:pPr>
        <w:pStyle w:val="NoSpacing"/>
        <w:ind w:left="0" w:right="707" w:firstLine="0"/>
        <w:rPr>
          <w:b/>
          <w:bCs/>
        </w:rPr>
      </w:pPr>
    </w:p>
    <w:p w:rsidRPr="00352F35" w:rsidR="005C7D2B" w:rsidP="00352F35" w:rsidRDefault="00352F35" w14:paraId="551A9DDF" w14:textId="13751D21">
      <w:pPr>
        <w:pStyle w:val="NoSpacing"/>
        <w:numPr>
          <w:ilvl w:val="0"/>
          <w:numId w:val="2"/>
        </w:numPr>
        <w:ind w:right="707" w:hanging="360"/>
        <w:rPr>
          <w:b/>
          <w:bCs/>
        </w:rPr>
      </w:pPr>
      <w:r>
        <w:t>T</w:t>
      </w:r>
      <w:r w:rsidRPr="00352F35">
        <w:t xml:space="preserve">o assess the </w:t>
      </w:r>
      <w:r w:rsidRPr="00B86031">
        <w:t xml:space="preserve">positive </w:t>
      </w:r>
      <w:r w:rsidRPr="00B86031" w:rsidR="005B77C8">
        <w:t xml:space="preserve">outcomes </w:t>
      </w:r>
      <w:r w:rsidRPr="00352F35" w:rsidR="005C7D2B">
        <w:t xml:space="preserve">of </w:t>
      </w:r>
      <w:r w:rsidR="00B86031">
        <w:t>this</w:t>
      </w:r>
      <w:r w:rsidRPr="00352F35" w:rsidR="005C7D2B">
        <w:t xml:space="preserve"> resident engagement strategy, </w:t>
      </w:r>
      <w:r w:rsidRPr="00A01973">
        <w:rPr>
          <w:color w:val="000000" w:themeColor="text1"/>
        </w:rPr>
        <w:t>we will</w:t>
      </w:r>
      <w:r w:rsidRPr="00A01973" w:rsidR="00AD073F">
        <w:rPr>
          <w:color w:val="000000" w:themeColor="text1"/>
        </w:rPr>
        <w:t xml:space="preserve"> regularly monitor and report the </w:t>
      </w:r>
      <w:r w:rsidRPr="00A01973">
        <w:rPr>
          <w:color w:val="000000" w:themeColor="text1"/>
        </w:rPr>
        <w:t>outcomes of engagement activities against our s</w:t>
      </w:r>
      <w:r w:rsidRPr="00352F35">
        <w:t xml:space="preserve">trategic objectives, identifying areas where resident feedback has directly contributed to tangible improvements. We will also track participation rates, monitor the diversity of those involved and measure the extent to which resident input has influenced service delivery and decision-making processes. </w:t>
      </w:r>
    </w:p>
    <w:p w:rsidRPr="00352F35" w:rsidR="00352F35" w:rsidP="00352F35" w:rsidRDefault="00352F35" w14:paraId="01E4A9DD" w14:textId="77777777">
      <w:pPr>
        <w:pStyle w:val="NoSpacing"/>
        <w:ind w:left="0" w:right="707" w:firstLine="0"/>
        <w:rPr>
          <w:b/>
          <w:bCs/>
        </w:rPr>
      </w:pPr>
    </w:p>
    <w:p w:rsidRPr="00352F35" w:rsidR="00352F35" w:rsidP="00352F35" w:rsidRDefault="00DA7AEC" w14:paraId="44879748" w14:textId="71AB9073">
      <w:pPr>
        <w:pStyle w:val="NoSpacing"/>
        <w:numPr>
          <w:ilvl w:val="0"/>
          <w:numId w:val="2"/>
        </w:numPr>
        <w:ind w:right="707" w:hanging="360"/>
        <w:rPr>
          <w:b/>
          <w:bCs/>
        </w:rPr>
      </w:pPr>
      <w:r>
        <w:t>In line with RSH requirements, w</w:t>
      </w:r>
      <w:r w:rsidR="00352F35">
        <w:t xml:space="preserve">e will also provide and publish the outcomes that this strategy is achieving </w:t>
      </w:r>
      <w:r w:rsidR="00AD073F">
        <w:t>to</w:t>
      </w:r>
      <w:r w:rsidR="00352F35">
        <w:t xml:space="preserve"> our residents</w:t>
      </w:r>
      <w:r w:rsidR="00AD073F">
        <w:t xml:space="preserve"> on a regular basis</w:t>
      </w:r>
      <w:r w:rsidR="00C1284C">
        <w:t>.</w:t>
      </w:r>
      <w:r w:rsidR="00352F35">
        <w:t xml:space="preserve">  We will also </w:t>
      </w:r>
      <w:r w:rsidR="0059498F">
        <w:t xml:space="preserve">expect to be able to </w:t>
      </w:r>
      <w:r w:rsidR="00767D72">
        <w:t>demonstrate to them</w:t>
      </w:r>
      <w:r w:rsidRPr="00352F35" w:rsidR="00352F35">
        <w:t xml:space="preserve"> the positive changes in service quality, resident satisfaction, and trust as a direct result of our engagement efforts</w:t>
      </w:r>
      <w:r w:rsidR="00352F35">
        <w:t xml:space="preserve"> – including the difference it is making to ensure engagement </w:t>
      </w:r>
      <w:r>
        <w:t>and representation from our vulnerable and diverse resident groups has been successfully captured</w:t>
      </w:r>
      <w:r w:rsidRPr="00352F35" w:rsidR="00352F35">
        <w:t>.</w:t>
      </w:r>
    </w:p>
    <w:p w:rsidR="008330CA" w:rsidP="7C22F20C" w:rsidRDefault="008330CA" w14:paraId="1162F708" w14:noSpellErr="1" w14:textId="7FDE30E5">
      <w:pPr>
        <w:pStyle w:val="Heading1"/>
        <w:ind w:left="0" w:firstLine="0"/>
        <w:rPr>
          <w:rFonts w:ascii="Calibri" w:hAnsi="Calibri" w:cs="Calibri"/>
          <w:color w:val="FF0000"/>
        </w:rPr>
      </w:pPr>
    </w:p>
    <w:p w:rsidR="0055046A" w:rsidP="7CA554E9" w:rsidRDefault="00361803" w14:paraId="5D4312F5" w14:textId="120CD563" w14:noSpellErr="1">
      <w:pPr>
        <w:pStyle w:val="Heading1"/>
        <w:ind w:left="0" w:hanging="0" w:firstLine="360"/>
      </w:pPr>
      <w:r w:rsidR="00361803">
        <w:rPr/>
        <w:t xml:space="preserve">Financial implications </w:t>
      </w:r>
    </w:p>
    <w:p w:rsidR="001637A7" w:rsidP="00960D4E" w:rsidRDefault="006E3321" w14:paraId="58BA6C9A" w14:textId="7036CABC" w14:noSpellErr="1">
      <w:pPr>
        <w:pStyle w:val="ListParagraph"/>
        <w:numPr>
          <w:ilvl w:val="0"/>
          <w:numId w:val="2"/>
        </w:numPr>
        <w:ind w:right="707"/>
        <w:rPr/>
      </w:pPr>
      <w:r w:rsidR="006E3321">
        <w:rPr/>
        <w:t>The</w:t>
      </w:r>
      <w:r w:rsidR="00622E21">
        <w:rPr/>
        <w:t xml:space="preserve"> proposals within this strategy </w:t>
      </w:r>
      <w:r w:rsidR="00D64F1E">
        <w:rPr/>
        <w:t>are intended to be</w:t>
      </w:r>
      <w:r w:rsidR="006E3321">
        <w:rPr/>
        <w:t xml:space="preserve"> cost neutral and can be delivered using existing approved budgets for resident engagement</w:t>
      </w:r>
      <w:r w:rsidR="00E756BC">
        <w:rPr/>
        <w:t xml:space="preserve">.  </w:t>
      </w:r>
      <w:r w:rsidR="00E756BC">
        <w:rPr/>
        <w:t xml:space="preserve">Any </w:t>
      </w:r>
      <w:r w:rsidR="00FC1461">
        <w:rPr/>
        <w:t>additional</w:t>
      </w:r>
      <w:r w:rsidR="00FC1461">
        <w:rPr/>
        <w:t xml:space="preserve"> </w:t>
      </w:r>
      <w:r w:rsidR="00E756BC">
        <w:rPr/>
        <w:t xml:space="preserve">financial implications arising from implementation will be </w:t>
      </w:r>
      <w:r w:rsidR="00857ABE">
        <w:rPr/>
        <w:t>maintained</w:t>
      </w:r>
      <w:r w:rsidR="00857ABE">
        <w:rPr/>
        <w:t xml:space="preserve"> within the wider </w:t>
      </w:r>
      <w:r w:rsidR="001A635B">
        <w:rPr/>
        <w:t>HRA housing service budget</w:t>
      </w:r>
      <w:r w:rsidR="00132EE7">
        <w:rPr/>
        <w:t>s</w:t>
      </w:r>
      <w:r w:rsidR="00E756BC">
        <w:rPr/>
        <w:t xml:space="preserve"> and subject to relevant </w:t>
      </w:r>
      <w:r w:rsidR="001A635B">
        <w:rPr/>
        <w:t xml:space="preserve">financial </w:t>
      </w:r>
      <w:r w:rsidR="00E756BC">
        <w:rPr/>
        <w:t>governance processes</w:t>
      </w:r>
      <w:r w:rsidR="0CEAF7DE">
        <w:rPr/>
        <w:t>.</w:t>
      </w:r>
    </w:p>
    <w:p w:rsidR="7C22F20C" w:rsidP="7C22F20C" w:rsidRDefault="7C22F20C" w14:paraId="168B3E3E" w14:textId="605C865C" w14:noSpellErr="1">
      <w:pPr>
        <w:ind w:left="360" w:right="707" w:hanging="360"/>
      </w:pPr>
    </w:p>
    <w:p w:rsidR="00960D4E" w:rsidP="00960D4E" w:rsidRDefault="00960D4E" w14:paraId="23E686AD" w14:textId="72C74C35">
      <w:pPr>
        <w:ind w:left="360" w:right="707" w:hanging="360"/>
      </w:pPr>
    </w:p>
    <w:p w:rsidR="00960D4E" w:rsidP="00960D4E" w:rsidRDefault="00960D4E" w14:paraId="2604859C" w14:textId="0ADEBBE2">
      <w:pPr>
        <w:ind w:left="360" w:right="707" w:hanging="360"/>
      </w:pPr>
    </w:p>
    <w:p w:rsidRPr="001637A7" w:rsidR="0055046A" w:rsidP="001A635B" w:rsidRDefault="00361803" w14:paraId="4BB13D13" w14:textId="4A707EB9">
      <w:pPr>
        <w:ind w:left="0" w:right="707" w:firstLine="360"/>
        <w:rPr>
          <w:b/>
          <w:bCs/>
        </w:rPr>
      </w:pPr>
      <w:r w:rsidRPr="00960D4E" w:rsidR="00361803">
        <w:rPr>
          <w:b w:val="1"/>
          <w:bCs w:val="1"/>
        </w:rPr>
        <w:t xml:space="preserve">Legal issues </w:t>
      </w:r>
    </w:p>
    <w:p w:rsidRPr="00C94BAA" w:rsidR="00E13321" w:rsidP="7CA554E9" w:rsidRDefault="00E13321" w14:paraId="27700076" w14:noSpellErr="1" w14:textId="28D5FD0E">
      <w:pPr>
        <w:pStyle w:val="ListParagraph"/>
        <w:numPr>
          <w:ilvl w:val="0"/>
          <w:numId w:val="5"/>
        </w:numPr>
        <w:spacing w:after="98" w:line="259" w:lineRule="auto"/>
        <w:rPr>
          <w:b w:val="1"/>
          <w:bCs w:val="1"/>
          <w:i w:val="1"/>
          <w:iCs w:val="1"/>
        </w:rPr>
      </w:pPr>
      <w:r w:rsidR="00E13321">
        <w:rPr/>
        <w:t xml:space="preserve">This strategy will contribute </w:t>
      </w:r>
      <w:r w:rsidR="00B9627D">
        <w:rPr/>
        <w:t xml:space="preserve">and support the </w:t>
      </w:r>
      <w:r w:rsidR="2D23A902">
        <w:rPr/>
        <w:t>C</w:t>
      </w:r>
      <w:r w:rsidR="00B9627D">
        <w:rPr/>
        <w:t>ouncil’s requirement</w:t>
      </w:r>
      <w:r w:rsidR="006122FC">
        <w:rPr/>
        <w:t xml:space="preserve"> and compliance with the </w:t>
      </w:r>
      <w:r w:rsidR="00597425">
        <w:rPr/>
        <w:t>S</w:t>
      </w:r>
      <w:r w:rsidR="006122FC">
        <w:rPr/>
        <w:t xml:space="preserve">ocial </w:t>
      </w:r>
      <w:r w:rsidR="00597425">
        <w:rPr/>
        <w:t>H</w:t>
      </w:r>
      <w:r w:rsidR="006122FC">
        <w:rPr/>
        <w:t xml:space="preserve">ousing </w:t>
      </w:r>
      <w:r w:rsidR="00597425">
        <w:rPr/>
        <w:t>A</w:t>
      </w:r>
      <w:r w:rsidR="006122FC">
        <w:rPr/>
        <w:t xml:space="preserve">ct </w:t>
      </w:r>
      <w:r w:rsidR="006122FC">
        <w:rPr/>
        <w:t>2023</w:t>
      </w:r>
      <w:r w:rsidR="006122FC">
        <w:rPr/>
        <w:t xml:space="preserve"> and </w:t>
      </w:r>
      <w:r w:rsidR="00C94BAA">
        <w:rPr/>
        <w:t xml:space="preserve">the </w:t>
      </w:r>
      <w:r w:rsidR="00597425">
        <w:rPr/>
        <w:t xml:space="preserve">Regulator for </w:t>
      </w:r>
      <w:r w:rsidR="00C94BAA">
        <w:rPr/>
        <w:t xml:space="preserve">Social Housing </w:t>
      </w:r>
      <w:r w:rsidR="006122FC">
        <w:rPr/>
        <w:t xml:space="preserve">associated Consumer Standards – in </w:t>
      </w:r>
      <w:r w:rsidR="006122FC">
        <w:rPr/>
        <w:t>particular</w:t>
      </w:r>
      <w:r w:rsidR="006122FC">
        <w:rPr/>
        <w:t xml:space="preserve"> the </w:t>
      </w:r>
      <w:r w:rsidRPr="7CA554E9" w:rsidR="006122FC">
        <w:rPr>
          <w:i w:val="1"/>
          <w:iCs w:val="1"/>
        </w:rPr>
        <w:t>Transparency</w:t>
      </w:r>
      <w:r w:rsidRPr="7CA554E9" w:rsidR="00C71AD1">
        <w:rPr>
          <w:i w:val="1"/>
          <w:iCs w:val="1"/>
        </w:rPr>
        <w:t>, Influence and Accountability</w:t>
      </w:r>
      <w:r w:rsidRPr="7CA554E9" w:rsidR="6B371D4E">
        <w:rPr>
          <w:i w:val="1"/>
          <w:iCs w:val="1"/>
        </w:rPr>
        <w:t xml:space="preserve"> Standard</w:t>
      </w:r>
      <w:r w:rsidRPr="7CA554E9" w:rsidR="00C71AD1">
        <w:rPr>
          <w:i w:val="1"/>
          <w:iCs w:val="1"/>
        </w:rPr>
        <w:t xml:space="preserve"> Consumer Standard</w:t>
      </w:r>
      <w:r w:rsidRPr="7CA554E9" w:rsidR="49119B1F">
        <w:rPr>
          <w:i w:val="1"/>
          <w:iCs w:val="1"/>
        </w:rPr>
        <w:t>s 1 April 2024.</w:t>
      </w:r>
      <w:r w:rsidRPr="7CA554E9" w:rsidR="00C71AD1">
        <w:rPr>
          <w:i w:val="1"/>
          <w:iCs w:val="1"/>
        </w:rPr>
        <w:t xml:space="preserve"> </w:t>
      </w:r>
      <w:r w:rsidRPr="7CA554E9" w:rsidR="006122FC">
        <w:rPr>
          <w:i w:val="1"/>
          <w:iCs w:val="1"/>
        </w:rPr>
        <w:t xml:space="preserve"> </w:t>
      </w:r>
    </w:p>
    <w:p w:rsidR="00E44D61" w:rsidP="00E44D61" w:rsidRDefault="00E44D61" w14:paraId="7F388A72" w14:textId="77777777">
      <w:pPr>
        <w:pStyle w:val="ListParagraph"/>
      </w:pPr>
    </w:p>
    <w:p w:rsidRPr="00382D87" w:rsidR="00CC0102" w:rsidP="00382D87" w:rsidRDefault="005F1433" w14:paraId="5298560E" w14:textId="51B5B7A6">
      <w:pPr>
        <w:pStyle w:val="ListParagraph"/>
        <w:numPr>
          <w:ilvl w:val="0"/>
          <w:numId w:val="5"/>
        </w:numPr>
        <w:spacing w:after="98" w:line="259" w:lineRule="auto"/>
        <w:rPr>
          <w:b/>
        </w:rPr>
      </w:pPr>
      <w:r w:rsidR="005F1433">
        <w:rPr/>
        <w:t>The</w:t>
      </w:r>
      <w:r w:rsidR="000B3A15">
        <w:rPr/>
        <w:t xml:space="preserve"> Housing Ombudsman’s </w:t>
      </w:r>
      <w:r w:rsidR="005A0CA0">
        <w:rPr/>
        <w:t>C</w:t>
      </w:r>
      <w:r w:rsidR="000B3A15">
        <w:rPr/>
        <w:t xml:space="preserve">omplaint </w:t>
      </w:r>
      <w:r w:rsidR="005A0CA0">
        <w:rPr/>
        <w:t>H</w:t>
      </w:r>
      <w:r w:rsidR="000B3A15">
        <w:rPr/>
        <w:t xml:space="preserve">andling </w:t>
      </w:r>
      <w:r w:rsidR="005A0CA0">
        <w:rPr/>
        <w:t>C</w:t>
      </w:r>
      <w:r w:rsidR="000B3A15">
        <w:rPr/>
        <w:t>ode recommends consultation with a relevant resident panel on complaints policies and procedures and that a relevant resident panel receive reports on feedback, learning, and improvements arising from the complaints process.</w:t>
      </w:r>
    </w:p>
    <w:p w:rsidR="00960D4E" w:rsidP="00960D4E" w:rsidRDefault="00960D4E" w14:paraId="07C8EA78" w14:textId="04E3FA6E">
      <w:pPr>
        <w:pStyle w:val="ListParagraph"/>
        <w:spacing w:after="98" w:line="259" w:lineRule="auto"/>
        <w:ind w:left="360"/>
        <w:rPr>
          <w:b w:val="1"/>
          <w:bCs w:val="1"/>
        </w:rPr>
      </w:pPr>
    </w:p>
    <w:p w:rsidR="0055046A" w:rsidP="00E44D61" w:rsidRDefault="00361803" w14:paraId="1D9B572E" w14:textId="4DEB2FDF">
      <w:pPr>
        <w:spacing w:after="98" w:line="259" w:lineRule="auto"/>
        <w:ind w:left="-5" w:firstLine="365"/>
      </w:pPr>
      <w:r>
        <w:rPr>
          <w:b/>
        </w:rPr>
        <w:t xml:space="preserve">Level of risk </w:t>
      </w:r>
    </w:p>
    <w:p w:rsidR="0055046A" w:rsidP="00E44D61" w:rsidRDefault="00361803" w14:paraId="6B6C4372" w14:textId="2B2442FF" w14:noSpellErr="1">
      <w:pPr>
        <w:pStyle w:val="ListParagraph"/>
        <w:numPr>
          <w:ilvl w:val="0"/>
          <w:numId w:val="5"/>
        </w:numPr>
        <w:spacing w:after="228"/>
        <w:ind w:right="699"/>
        <w:rPr/>
      </w:pPr>
      <w:r w:rsidR="00361803">
        <w:rPr/>
        <w:t xml:space="preserve"> </w:t>
      </w:r>
      <w:r w:rsidR="00BC6832">
        <w:rPr>
          <w:color w:val="001D35"/>
          <w:shd w:val="clear" w:color="auto" w:fill="FFFFFF"/>
        </w:rPr>
        <w:t xml:space="preserve">The risks of not meeting social housing </w:t>
      </w:r>
      <w:r w:rsidR="00BC6832">
        <w:rPr>
          <w:color w:val="001D35"/>
          <w:shd w:val="clear" w:color="auto" w:fill="FFFFFF"/>
        </w:rPr>
        <w:t>regulator</w:t>
      </w:r>
      <w:r w:rsidR="00BC6832">
        <w:rPr>
          <w:color w:val="001D35"/>
          <w:shd w:val="clear" w:color="auto" w:fill="FFFFFF"/>
        </w:rPr>
        <w:t xml:space="preserve"> requirements include regulatory action, such as performance improvement plans or the potential for financial penalties. This can lead to a loss of public trust, damage </w:t>
      </w:r>
      <w:r w:rsidR="005676C0">
        <w:rPr>
          <w:color w:val="001D35"/>
          <w:shd w:val="clear" w:color="auto" w:fill="FFFFFF"/>
        </w:rPr>
        <w:t xml:space="preserve">the </w:t>
      </w:r>
      <w:r w:rsidR="705833FD">
        <w:rPr>
          <w:color w:val="001D35"/>
          <w:shd w:val="clear" w:color="auto" w:fill="FFFFFF"/>
        </w:rPr>
        <w:t>C</w:t>
      </w:r>
      <w:r w:rsidR="005676C0">
        <w:rPr>
          <w:color w:val="001D35"/>
          <w:shd w:val="clear" w:color="auto" w:fill="FFFFFF"/>
        </w:rPr>
        <w:t>ouncil’s</w:t>
      </w:r>
      <w:r w:rsidR="00BC6832">
        <w:rPr>
          <w:color w:val="001D35"/>
          <w:shd w:val="clear" w:color="auto" w:fill="FFFFFF"/>
        </w:rPr>
        <w:t xml:space="preserve"> reputation, and a negative impact on </w:t>
      </w:r>
      <w:r w:rsidR="005676C0">
        <w:rPr>
          <w:color w:val="001D35"/>
          <w:shd w:val="clear" w:color="auto" w:fill="FFFFFF"/>
        </w:rPr>
        <w:t>building</w:t>
      </w:r>
      <w:r w:rsidR="005676C0">
        <w:rPr>
          <w:color w:val="001D35"/>
          <w:shd w:val="clear" w:color="auto" w:fill="FFFFFF"/>
        </w:rPr>
        <w:t xml:space="preserve"> good working relations with residents and meeting the strategic vision and action plan</w:t>
      </w:r>
      <w:r w:rsidR="53510EAB">
        <w:rPr>
          <w:color w:val="001D35"/>
          <w:shd w:val="clear" w:color="auto" w:fill="FFFFFF"/>
        </w:rPr>
        <w:t>.</w:t>
      </w:r>
    </w:p>
    <w:p w:rsidR="0055046A" w:rsidP="00E44D61" w:rsidRDefault="00361803" w14:paraId="33644E0C" w14:noSpellErr="1" w14:textId="5F31B412">
      <w:pPr>
        <w:pStyle w:val="Heading1"/>
        <w:ind w:left="-5" w:firstLine="360"/>
      </w:pPr>
      <w:r w:rsidR="00361803">
        <w:rPr/>
        <w:t>Equalit</w:t>
      </w:r>
      <w:r w:rsidR="58A7A8A9">
        <w:rPr/>
        <w:t>y</w:t>
      </w:r>
      <w:r w:rsidR="00361803">
        <w:rPr/>
        <w:t xml:space="preserve"> impact  </w:t>
      </w:r>
    </w:p>
    <w:p w:rsidR="0055046A" w:rsidP="00960D4E" w:rsidRDefault="00E44D61" w14:paraId="2A12EFE9" w14:noSpellErr="1" w14:textId="14668C8A">
      <w:pPr>
        <w:ind w:left="355" w:right="707"/>
        <w:rPr>
          <w:color w:val="auto"/>
        </w:rPr>
      </w:pPr>
      <w:r w:rsidR="00E44D61">
        <w:rPr/>
        <w:t>27</w:t>
      </w:r>
      <w:r w:rsidR="00361803">
        <w:rPr/>
        <w:t xml:space="preserve">. </w:t>
      </w:r>
      <w:r w:rsidRPr="7CA554E9" w:rsidR="3330C062">
        <w:rPr>
          <w:color w:val="auto"/>
        </w:rPr>
        <w:t>A</w:t>
      </w:r>
      <w:r w:rsidRPr="7CA554E9" w:rsidR="6B22B5B1">
        <w:rPr>
          <w:color w:val="auto"/>
        </w:rPr>
        <w:t>n</w:t>
      </w:r>
      <w:r w:rsidRPr="7CA554E9" w:rsidR="3330C062">
        <w:rPr>
          <w:color w:val="auto"/>
        </w:rPr>
        <w:t xml:space="preserve"> Equalit</w:t>
      </w:r>
      <w:r w:rsidRPr="7CA554E9" w:rsidR="37555C9C">
        <w:rPr>
          <w:color w:val="auto"/>
        </w:rPr>
        <w:t>y</w:t>
      </w:r>
      <w:r w:rsidRPr="7CA554E9" w:rsidR="11926F27">
        <w:rPr>
          <w:color w:val="auto"/>
        </w:rPr>
        <w:t xml:space="preserve"> Impact Assessment has been completed and is attached </w:t>
      </w:r>
      <w:r w:rsidRPr="7CA554E9" w:rsidR="336B3F54">
        <w:rPr>
          <w:color w:val="auto"/>
        </w:rPr>
        <w:t>as</w:t>
      </w:r>
      <w:r w:rsidRPr="7CA554E9" w:rsidR="11926F27">
        <w:rPr>
          <w:color w:val="auto"/>
        </w:rPr>
        <w:t xml:space="preserve"> </w:t>
      </w:r>
      <w:r w:rsidRPr="7CA554E9" w:rsidR="11926F27">
        <w:rPr>
          <w:b w:val="1"/>
          <w:bCs w:val="1"/>
          <w:color w:val="auto"/>
        </w:rPr>
        <w:t xml:space="preserve">Appendix </w:t>
      </w:r>
      <w:r w:rsidRPr="7CA554E9" w:rsidR="5C242AF2">
        <w:rPr>
          <w:b w:val="1"/>
          <w:bCs w:val="1"/>
          <w:color w:val="auto"/>
        </w:rPr>
        <w:t>2</w:t>
      </w:r>
      <w:r w:rsidRPr="7CA554E9" w:rsidR="11926F27">
        <w:rPr>
          <w:color w:val="auto"/>
        </w:rPr>
        <w:t>.</w:t>
      </w:r>
    </w:p>
    <w:p w:rsidR="0055046A" w:rsidRDefault="00361803" w14:paraId="338A9769" w14:textId="77777777">
      <w:pPr>
        <w:spacing w:after="98" w:line="259" w:lineRule="auto"/>
        <w:ind w:left="0" w:firstLine="0"/>
      </w:pPr>
      <w:r>
        <w:rPr>
          <w:b/>
        </w:rPr>
        <w:t xml:space="preserve"> </w:t>
      </w:r>
    </w:p>
    <w:p w:rsidR="0055046A" w:rsidP="00E44D61" w:rsidRDefault="00361803" w14:paraId="66DF61D9" w14:textId="77777777">
      <w:pPr>
        <w:pStyle w:val="Heading1"/>
        <w:ind w:left="0" w:firstLine="355"/>
      </w:pPr>
      <w:r>
        <w:t xml:space="preserve">Carbon and Environmental Considerations </w:t>
      </w:r>
      <w:r>
        <w:rPr>
          <w:b w:val="0"/>
        </w:rPr>
        <w:t xml:space="preserve"> </w:t>
      </w:r>
    </w:p>
    <w:p w:rsidR="0055046A" w:rsidRDefault="00E44D61" w14:paraId="22B99F58" w14:textId="4B1E55B4">
      <w:pPr>
        <w:ind w:left="355" w:right="707"/>
      </w:pPr>
      <w:r>
        <w:t>28</w:t>
      </w:r>
      <w:r w:rsidR="00361803">
        <w:t xml:space="preserve">. </w:t>
      </w:r>
      <w:r w:rsidR="00AD2476">
        <w:t xml:space="preserve">The adoption of this strategy may </w:t>
      </w:r>
      <w:r>
        <w:t xml:space="preserve">go towards </w:t>
      </w:r>
      <w:r w:rsidR="00AD2476">
        <w:t>help</w:t>
      </w:r>
      <w:r w:rsidR="00622E21">
        <w:t>ing</w:t>
      </w:r>
      <w:r w:rsidR="00AD2476">
        <w:t xml:space="preserve"> reduce carbon emissions by ensuring housing services are available locally. The inclusion of digital engagement channels will also help reduce the carbon footprint.</w:t>
      </w:r>
    </w:p>
    <w:p w:rsidR="0055046A" w:rsidRDefault="00361803" w14:paraId="4622C0D2" w14:textId="77777777">
      <w:pPr>
        <w:spacing w:after="0" w:line="259" w:lineRule="auto"/>
        <w:ind w:left="0" w:firstLine="0"/>
      </w:pPr>
      <w:r>
        <w:t xml:space="preserve"> </w:t>
      </w:r>
    </w:p>
    <w:tbl>
      <w:tblPr>
        <w:tblStyle w:val="TableGrid"/>
        <w:tblW w:w="8931" w:type="dxa"/>
        <w:tblInd w:w="118" w:type="dxa"/>
        <w:tblCellMar>
          <w:top w:w="60" w:type="dxa"/>
          <w:right w:w="115" w:type="dxa"/>
        </w:tblCellMar>
        <w:tblLook w:val="04A0" w:firstRow="1" w:lastRow="0" w:firstColumn="1" w:lastColumn="0" w:noHBand="0" w:noVBand="1"/>
      </w:tblPr>
      <w:tblGrid>
        <w:gridCol w:w="3257"/>
        <w:gridCol w:w="1485"/>
        <w:gridCol w:w="4189"/>
      </w:tblGrid>
      <w:tr w:rsidR="0055046A" w:rsidTr="00960D4E" w14:paraId="27FE31A8" w14:textId="77777777">
        <w:trPr>
          <w:trHeight w:val="416"/>
        </w:trPr>
        <w:tc>
          <w:tcPr>
            <w:tcW w:w="3257" w:type="dxa"/>
            <w:tcBorders>
              <w:top w:val="single" w:color="000000" w:themeColor="text1" w:sz="8" w:space="0"/>
              <w:left w:val="single" w:color="000000" w:themeColor="text1" w:sz="8" w:space="0"/>
              <w:bottom w:val="single" w:color="000000" w:themeColor="text1" w:sz="8" w:space="0"/>
              <w:right w:val="nil"/>
            </w:tcBorders>
            <w:tcMar/>
          </w:tcPr>
          <w:p w:rsidR="0055046A" w:rsidRDefault="00361803" w14:paraId="3E4C0790" w14:textId="77777777">
            <w:pPr>
              <w:spacing w:after="0" w:line="259" w:lineRule="auto"/>
              <w:ind w:left="108" w:firstLine="0"/>
            </w:pPr>
            <w:r>
              <w:rPr>
                <w:b/>
              </w:rPr>
              <w:t xml:space="preserve">Report author </w:t>
            </w:r>
          </w:p>
        </w:tc>
        <w:tc>
          <w:tcPr>
            <w:tcW w:w="1485" w:type="dxa"/>
            <w:tcBorders>
              <w:top w:val="single" w:color="000000" w:themeColor="text1" w:sz="8" w:space="0"/>
              <w:left w:val="nil"/>
              <w:bottom w:val="single" w:color="000000" w:themeColor="text1" w:sz="8" w:space="0"/>
              <w:right w:val="nil"/>
            </w:tcBorders>
            <w:tcMar/>
          </w:tcPr>
          <w:p w:rsidR="0055046A" w:rsidRDefault="0055046A" w14:paraId="05CAFFE6" w14:textId="77777777">
            <w:pPr>
              <w:spacing w:after="160" w:line="259" w:lineRule="auto"/>
              <w:ind w:left="0" w:firstLine="0"/>
            </w:pPr>
          </w:p>
        </w:tc>
        <w:tc>
          <w:tcPr>
            <w:tcW w:w="4189" w:type="dxa"/>
            <w:tcBorders>
              <w:top w:val="single" w:color="000000" w:themeColor="text1" w:sz="8" w:space="0"/>
              <w:left w:val="nil"/>
              <w:bottom w:val="single" w:color="000000" w:themeColor="text1" w:sz="8" w:space="0"/>
              <w:right w:val="single" w:color="000000" w:themeColor="text1" w:sz="8" w:space="0"/>
            </w:tcBorders>
            <w:tcMar/>
          </w:tcPr>
          <w:p w:rsidR="0055046A" w:rsidRDefault="00DA7AEC" w14:paraId="57C7D333" w14:noSpellErr="1" w14:textId="10380160">
            <w:pPr>
              <w:spacing w:after="0" w:line="259" w:lineRule="auto"/>
              <w:ind w:left="0" w:firstLine="0"/>
            </w:pPr>
            <w:r w:rsidR="00361803">
              <w:rPr/>
              <w:t xml:space="preserve"> </w:t>
            </w:r>
            <w:r w:rsidR="33433F4B">
              <w:rPr/>
              <w:t>Nerys Parry</w:t>
            </w:r>
          </w:p>
        </w:tc>
      </w:tr>
      <w:tr w:rsidR="0055046A" w:rsidTr="00960D4E" w14:paraId="71A39AF4" w14:textId="77777777">
        <w:trPr>
          <w:trHeight w:val="647"/>
        </w:trPr>
        <w:tc>
          <w:tcPr>
            <w:tcW w:w="3257" w:type="dxa"/>
            <w:tcBorders>
              <w:top w:val="single" w:color="000000" w:themeColor="text1" w:sz="8" w:space="0"/>
              <w:left w:val="single" w:color="000000" w:themeColor="text1" w:sz="8" w:space="0"/>
              <w:bottom w:val="nil"/>
              <w:right w:val="nil"/>
            </w:tcBorders>
            <w:tcMar/>
          </w:tcPr>
          <w:p w:rsidR="0055046A" w:rsidRDefault="00361803" w14:paraId="5DC3C39C" w14:textId="77777777">
            <w:pPr>
              <w:spacing w:after="0" w:line="259" w:lineRule="auto"/>
              <w:ind w:left="108" w:firstLine="0"/>
            </w:pPr>
            <w:r>
              <w:t xml:space="preserve">Job title </w:t>
            </w:r>
          </w:p>
        </w:tc>
        <w:tc>
          <w:tcPr>
            <w:tcW w:w="1485" w:type="dxa"/>
            <w:tcBorders>
              <w:top w:val="single" w:color="000000" w:themeColor="text1" w:sz="8" w:space="0"/>
              <w:left w:val="nil"/>
              <w:bottom w:val="nil"/>
              <w:right w:val="nil"/>
            </w:tcBorders>
            <w:tcMar/>
          </w:tcPr>
          <w:p w:rsidR="0055046A" w:rsidRDefault="0055046A" w14:paraId="3A341FBF" w14:textId="77777777">
            <w:pPr>
              <w:spacing w:after="160" w:line="259" w:lineRule="auto"/>
              <w:ind w:left="0" w:firstLine="0"/>
            </w:pPr>
          </w:p>
        </w:tc>
        <w:tc>
          <w:tcPr>
            <w:tcW w:w="4189" w:type="dxa"/>
            <w:tcBorders>
              <w:top w:val="single" w:color="000000" w:themeColor="text1" w:sz="8" w:space="0"/>
              <w:left w:val="nil"/>
              <w:bottom w:val="nil"/>
              <w:right w:val="single" w:color="000000" w:themeColor="text1" w:sz="8" w:space="0"/>
            </w:tcBorders>
            <w:tcMar/>
          </w:tcPr>
          <w:p w:rsidR="0055046A" w:rsidP="00960D4E" w:rsidRDefault="00DA7AEC" w14:paraId="7CB2C7B0" w14:textId="107EAF77">
            <w:pPr>
              <w:pStyle w:val="Normal"/>
              <w:suppressLineNumbers w:val="0"/>
              <w:bidi w:val="0"/>
              <w:spacing w:before="0" w:beforeAutospacing="off" w:after="0" w:afterAutospacing="off" w:line="259" w:lineRule="auto"/>
              <w:ind w:left="0" w:right="0"/>
              <w:jc w:val="left"/>
            </w:pPr>
            <w:r w:rsidR="271A9596">
              <w:rPr/>
              <w:t>Director of Housing</w:t>
            </w:r>
          </w:p>
        </w:tc>
      </w:tr>
      <w:tr w:rsidR="0055046A" w:rsidTr="00960D4E" w14:paraId="712B857A" w14:textId="77777777">
        <w:trPr>
          <w:trHeight w:val="396"/>
        </w:trPr>
        <w:tc>
          <w:tcPr>
            <w:tcW w:w="3257" w:type="dxa"/>
            <w:tcBorders>
              <w:top w:val="nil"/>
              <w:left w:val="single" w:color="000000" w:themeColor="text1" w:sz="8" w:space="0"/>
              <w:bottom w:val="nil"/>
              <w:right w:val="nil"/>
            </w:tcBorders>
            <w:tcMar/>
          </w:tcPr>
          <w:p w:rsidR="0055046A" w:rsidRDefault="00361803" w14:paraId="2C7C71C3" w14:textId="77777777">
            <w:pPr>
              <w:spacing w:after="0" w:line="259" w:lineRule="auto"/>
              <w:ind w:left="108" w:firstLine="0"/>
            </w:pPr>
            <w:r>
              <w:t xml:space="preserve">Service area or department </w:t>
            </w:r>
          </w:p>
        </w:tc>
        <w:tc>
          <w:tcPr>
            <w:tcW w:w="1485" w:type="dxa"/>
            <w:tcBorders>
              <w:top w:val="nil"/>
              <w:left w:val="nil"/>
              <w:bottom w:val="nil"/>
              <w:right w:val="nil"/>
            </w:tcBorders>
            <w:tcMar/>
          </w:tcPr>
          <w:p w:rsidR="0055046A" w:rsidRDefault="0055046A" w14:paraId="3D2507B4" w14:textId="77777777">
            <w:pPr>
              <w:spacing w:after="160" w:line="259" w:lineRule="auto"/>
              <w:ind w:left="0" w:firstLine="0"/>
            </w:pPr>
          </w:p>
        </w:tc>
        <w:tc>
          <w:tcPr>
            <w:tcW w:w="4189" w:type="dxa"/>
            <w:tcBorders>
              <w:top w:val="nil"/>
              <w:left w:val="nil"/>
              <w:bottom w:val="nil"/>
              <w:right w:val="single" w:color="000000" w:themeColor="text1" w:sz="8" w:space="0"/>
            </w:tcBorders>
            <w:tcMar/>
          </w:tcPr>
          <w:p w:rsidR="0055046A" w:rsidRDefault="00361803" w14:paraId="50A55144" w14:textId="77777777">
            <w:pPr>
              <w:spacing w:after="0" w:line="259" w:lineRule="auto"/>
              <w:ind w:left="0" w:firstLine="0"/>
            </w:pPr>
            <w:r>
              <w:t xml:space="preserve">Housing Services </w:t>
            </w:r>
          </w:p>
        </w:tc>
      </w:tr>
      <w:tr w:rsidR="0055046A" w:rsidTr="00960D4E" w14:paraId="11A64ED1" w14:textId="77777777">
        <w:trPr>
          <w:trHeight w:val="396"/>
        </w:trPr>
        <w:tc>
          <w:tcPr>
            <w:tcW w:w="3257" w:type="dxa"/>
            <w:tcBorders>
              <w:top w:val="nil"/>
              <w:left w:val="single" w:color="000000" w:themeColor="text1" w:sz="8" w:space="0"/>
              <w:bottom w:val="nil"/>
              <w:right w:val="nil"/>
            </w:tcBorders>
            <w:tcMar/>
          </w:tcPr>
          <w:p w:rsidR="0055046A" w:rsidRDefault="00361803" w14:paraId="2DAC891D" w14:textId="77777777">
            <w:pPr>
              <w:spacing w:after="0" w:line="259" w:lineRule="auto"/>
              <w:ind w:left="108" w:firstLine="0"/>
            </w:pPr>
            <w:r>
              <w:t xml:space="preserve">Telephone  </w:t>
            </w:r>
          </w:p>
        </w:tc>
        <w:tc>
          <w:tcPr>
            <w:tcW w:w="1485" w:type="dxa"/>
            <w:tcBorders>
              <w:top w:val="nil"/>
              <w:left w:val="nil"/>
              <w:bottom w:val="nil"/>
              <w:right w:val="nil"/>
            </w:tcBorders>
            <w:tcMar/>
          </w:tcPr>
          <w:p w:rsidR="0055046A" w:rsidRDefault="0055046A" w14:paraId="4F14F7AC" w14:textId="77777777">
            <w:pPr>
              <w:spacing w:after="160" w:line="259" w:lineRule="auto"/>
              <w:ind w:left="0" w:firstLine="0"/>
            </w:pPr>
          </w:p>
        </w:tc>
        <w:tc>
          <w:tcPr>
            <w:tcW w:w="4189" w:type="dxa"/>
            <w:tcBorders>
              <w:top w:val="nil"/>
              <w:left w:val="nil"/>
              <w:bottom w:val="nil"/>
              <w:right w:val="single" w:color="000000" w:themeColor="text1" w:sz="8" w:space="0"/>
            </w:tcBorders>
            <w:tcMar/>
          </w:tcPr>
          <w:p w:rsidR="0055046A" w:rsidRDefault="00DB0BB0" w14:paraId="726E6F07" w14:noSpellErr="1" w14:textId="7E197119">
            <w:pPr>
              <w:spacing w:after="0" w:line="259" w:lineRule="auto"/>
              <w:ind w:left="0" w:firstLine="0"/>
            </w:pPr>
          </w:p>
        </w:tc>
      </w:tr>
      <w:tr w:rsidR="0055046A" w:rsidTr="00960D4E" w14:paraId="625C8170" w14:textId="77777777">
        <w:trPr>
          <w:trHeight w:val="441"/>
        </w:trPr>
        <w:tc>
          <w:tcPr>
            <w:tcW w:w="3257" w:type="dxa"/>
            <w:tcBorders>
              <w:top w:val="nil"/>
              <w:left w:val="single" w:color="000000" w:themeColor="text1" w:sz="8" w:space="0"/>
              <w:bottom w:val="single" w:color="000000" w:themeColor="text1" w:sz="8" w:space="0"/>
              <w:right w:val="nil"/>
            </w:tcBorders>
            <w:tcMar/>
          </w:tcPr>
          <w:p w:rsidR="0055046A" w:rsidRDefault="00361803" w14:paraId="342A515D" w14:textId="77777777">
            <w:pPr>
              <w:spacing w:after="0" w:line="259" w:lineRule="auto"/>
              <w:ind w:left="108" w:firstLine="0"/>
            </w:pPr>
            <w:r>
              <w:t xml:space="preserve">e-mail  </w:t>
            </w:r>
          </w:p>
        </w:tc>
        <w:tc>
          <w:tcPr>
            <w:tcW w:w="1485" w:type="dxa"/>
            <w:tcBorders>
              <w:top w:val="nil"/>
              <w:left w:val="nil"/>
              <w:bottom w:val="single" w:color="000000" w:themeColor="text1" w:sz="8" w:space="0"/>
              <w:right w:val="nil"/>
            </w:tcBorders>
            <w:tcMar/>
          </w:tcPr>
          <w:p w:rsidR="0055046A" w:rsidRDefault="0055046A" w14:paraId="5680216B" w14:textId="77777777">
            <w:pPr>
              <w:spacing w:after="160" w:line="259" w:lineRule="auto"/>
              <w:ind w:left="0" w:firstLine="0"/>
            </w:pPr>
          </w:p>
        </w:tc>
        <w:tc>
          <w:tcPr>
            <w:tcW w:w="4189" w:type="dxa"/>
            <w:tcBorders>
              <w:top w:val="nil"/>
              <w:left w:val="nil"/>
              <w:bottom w:val="single" w:color="000000" w:themeColor="text1" w:sz="8" w:space="0"/>
              <w:right w:val="single" w:color="000000" w:themeColor="text1" w:sz="8" w:space="0"/>
            </w:tcBorders>
            <w:tcMar/>
          </w:tcPr>
          <w:p w:rsidR="0055046A" w:rsidP="7C22F20C" w:rsidRDefault="00137F6A" w14:paraId="0C8EEE66" w14:noSpellErr="1" w14:textId="74020DB6">
            <w:pPr>
              <w:spacing w:after="0" w:line="259" w:lineRule="auto"/>
              <w:ind w:left="0" w:firstLine="0"/>
              <w:rPr>
                <w:u w:val="single"/>
              </w:rPr>
            </w:pPr>
            <w:r w:rsidRPr="7C22F20C" w:rsidR="3C49B79A">
              <w:rPr>
                <w:u w:val="single"/>
              </w:rPr>
              <w:t>Nparry@oxford.gov.uk</w:t>
            </w:r>
          </w:p>
        </w:tc>
      </w:tr>
    </w:tbl>
    <w:p w:rsidR="00361803" w:rsidRDefault="00361803" w14:paraId="11DEA358" w14:textId="77777777"/>
    <w:sectPr w:rsidR="00361803">
      <w:footerReference w:type="even" r:id="rId10"/>
      <w:footerReference w:type="first" r:id="rId11"/>
      <w:pgSz w:w="11906" w:h="16838" w:orient="portrait"/>
      <w:pgMar w:top="274" w:right="597" w:bottom="1459" w:left="1304" w:header="720" w:footer="720" w:gutter="0"/>
      <w:pgNumType w:start="117"/>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ADF" w:rsidRDefault="00412ADF" w14:paraId="367F5AF4" w14:textId="77777777">
      <w:pPr>
        <w:spacing w:after="0" w:line="240" w:lineRule="auto"/>
      </w:pPr>
      <w:r>
        <w:separator/>
      </w:r>
    </w:p>
  </w:endnote>
  <w:endnote w:type="continuationSeparator" w:id="0">
    <w:p w:rsidR="00412ADF" w:rsidRDefault="00412ADF" w14:paraId="462798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6A" w:rsidP="00132EE7" w:rsidRDefault="0055046A" w14:paraId="08DFEB0B" w14:textId="73E4FCE9">
    <w:pPr>
      <w:spacing w:after="0" w:line="259" w:lineRule="auto"/>
      <w:ind w:left="0" w:right="279"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6A" w:rsidRDefault="00361803" w14:paraId="0F8AB3D4" w14:textId="77777777">
    <w:pPr>
      <w:spacing w:after="0" w:line="259" w:lineRule="auto"/>
      <w:ind w:left="0" w:right="1119" w:firstLine="0"/>
      <w:jc w:val="center"/>
    </w:pPr>
    <w:r>
      <w:fldChar w:fldCharType="begin"/>
    </w:r>
    <w:r>
      <w:instrText xml:space="preserve"> PAGE   \* MERGEFORMAT </w:instrText>
    </w:r>
    <w:r>
      <w:fldChar w:fldCharType="separate"/>
    </w:r>
    <w:r>
      <w:rPr>
        <w:sz w:val="32"/>
      </w:rPr>
      <w:t>117</w:t>
    </w:r>
    <w:r>
      <w:rPr>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ADF" w:rsidRDefault="00412ADF" w14:paraId="6BE38A76" w14:textId="77777777">
      <w:pPr>
        <w:spacing w:after="0" w:line="240" w:lineRule="auto"/>
      </w:pPr>
      <w:r>
        <w:separator/>
      </w:r>
    </w:p>
  </w:footnote>
  <w:footnote w:type="continuationSeparator" w:id="0">
    <w:p w:rsidR="00412ADF" w:rsidRDefault="00412ADF" w14:paraId="274BE43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31D"/>
    <w:multiLevelType w:val="hybridMultilevel"/>
    <w:tmpl w:val="25B6442E"/>
    <w:lvl w:ilvl="0" w:tplc="232A4BA4">
      <w:start w:val="6"/>
      <w:numFmt w:val="decimal"/>
      <w:lvlText w:val="%1."/>
      <w:lvlJc w:val="left"/>
      <w:pPr>
        <w:ind w:left="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41EF81C">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E86891F6">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F3CCCBA">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AD18EEEA">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428EABBC">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1E0DADC">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4883F18">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E8E9732">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E5A4372"/>
    <w:multiLevelType w:val="hybridMultilevel"/>
    <w:tmpl w:val="4AE0FEA6"/>
    <w:lvl w:ilvl="0" w:tplc="D038AD5C">
      <w:start w:val="1"/>
      <w:numFmt w:val="bullet"/>
      <w:lvlText w:val="-"/>
      <w:lvlJc w:val="left"/>
      <w:pPr>
        <w:tabs>
          <w:tab w:val="num" w:pos="720"/>
        </w:tabs>
        <w:ind w:left="720" w:hanging="360"/>
      </w:pPr>
      <w:rPr>
        <w:rFonts w:hint="default" w:ascii="Times New Roman" w:hAnsi="Times New Roman"/>
      </w:rPr>
    </w:lvl>
    <w:lvl w:ilvl="1" w:tplc="563E20EA" w:tentative="1">
      <w:start w:val="1"/>
      <w:numFmt w:val="bullet"/>
      <w:lvlText w:val="-"/>
      <w:lvlJc w:val="left"/>
      <w:pPr>
        <w:tabs>
          <w:tab w:val="num" w:pos="1440"/>
        </w:tabs>
        <w:ind w:left="1440" w:hanging="360"/>
      </w:pPr>
      <w:rPr>
        <w:rFonts w:hint="default" w:ascii="Times New Roman" w:hAnsi="Times New Roman"/>
      </w:rPr>
    </w:lvl>
    <w:lvl w:ilvl="2" w:tplc="FEE6468E" w:tentative="1">
      <w:start w:val="1"/>
      <w:numFmt w:val="bullet"/>
      <w:lvlText w:val="-"/>
      <w:lvlJc w:val="left"/>
      <w:pPr>
        <w:tabs>
          <w:tab w:val="num" w:pos="2160"/>
        </w:tabs>
        <w:ind w:left="2160" w:hanging="360"/>
      </w:pPr>
      <w:rPr>
        <w:rFonts w:hint="default" w:ascii="Times New Roman" w:hAnsi="Times New Roman"/>
      </w:rPr>
    </w:lvl>
    <w:lvl w:ilvl="3" w:tplc="0F88459E" w:tentative="1">
      <w:start w:val="1"/>
      <w:numFmt w:val="bullet"/>
      <w:lvlText w:val="-"/>
      <w:lvlJc w:val="left"/>
      <w:pPr>
        <w:tabs>
          <w:tab w:val="num" w:pos="2880"/>
        </w:tabs>
        <w:ind w:left="2880" w:hanging="360"/>
      </w:pPr>
      <w:rPr>
        <w:rFonts w:hint="default" w:ascii="Times New Roman" w:hAnsi="Times New Roman"/>
      </w:rPr>
    </w:lvl>
    <w:lvl w:ilvl="4" w:tplc="147659EE" w:tentative="1">
      <w:start w:val="1"/>
      <w:numFmt w:val="bullet"/>
      <w:lvlText w:val="-"/>
      <w:lvlJc w:val="left"/>
      <w:pPr>
        <w:tabs>
          <w:tab w:val="num" w:pos="3600"/>
        </w:tabs>
        <w:ind w:left="3600" w:hanging="360"/>
      </w:pPr>
      <w:rPr>
        <w:rFonts w:hint="default" w:ascii="Times New Roman" w:hAnsi="Times New Roman"/>
      </w:rPr>
    </w:lvl>
    <w:lvl w:ilvl="5" w:tplc="92BCBF30" w:tentative="1">
      <w:start w:val="1"/>
      <w:numFmt w:val="bullet"/>
      <w:lvlText w:val="-"/>
      <w:lvlJc w:val="left"/>
      <w:pPr>
        <w:tabs>
          <w:tab w:val="num" w:pos="4320"/>
        </w:tabs>
        <w:ind w:left="4320" w:hanging="360"/>
      </w:pPr>
      <w:rPr>
        <w:rFonts w:hint="default" w:ascii="Times New Roman" w:hAnsi="Times New Roman"/>
      </w:rPr>
    </w:lvl>
    <w:lvl w:ilvl="6" w:tplc="1994A5EE" w:tentative="1">
      <w:start w:val="1"/>
      <w:numFmt w:val="bullet"/>
      <w:lvlText w:val="-"/>
      <w:lvlJc w:val="left"/>
      <w:pPr>
        <w:tabs>
          <w:tab w:val="num" w:pos="5040"/>
        </w:tabs>
        <w:ind w:left="5040" w:hanging="360"/>
      </w:pPr>
      <w:rPr>
        <w:rFonts w:hint="default" w:ascii="Times New Roman" w:hAnsi="Times New Roman"/>
      </w:rPr>
    </w:lvl>
    <w:lvl w:ilvl="7" w:tplc="1ACA0478" w:tentative="1">
      <w:start w:val="1"/>
      <w:numFmt w:val="bullet"/>
      <w:lvlText w:val="-"/>
      <w:lvlJc w:val="left"/>
      <w:pPr>
        <w:tabs>
          <w:tab w:val="num" w:pos="5760"/>
        </w:tabs>
        <w:ind w:left="5760" w:hanging="360"/>
      </w:pPr>
      <w:rPr>
        <w:rFonts w:hint="default" w:ascii="Times New Roman" w:hAnsi="Times New Roman"/>
      </w:rPr>
    </w:lvl>
    <w:lvl w:ilvl="8" w:tplc="BFE89872" w:tentative="1">
      <w:start w:val="1"/>
      <w:numFmt w:val="bullet"/>
      <w:lvlText w:val="-"/>
      <w:lvlJc w:val="left"/>
      <w:pPr>
        <w:tabs>
          <w:tab w:val="num" w:pos="6480"/>
        </w:tabs>
        <w:ind w:left="6480" w:hanging="360"/>
      </w:pPr>
      <w:rPr>
        <w:rFonts w:hint="default" w:ascii="Times New Roman" w:hAnsi="Times New Roman"/>
      </w:rPr>
    </w:lvl>
  </w:abstractNum>
  <w:abstractNum w:abstractNumId="2" w15:restartNumberingAfterBreak="0">
    <w:nsid w:val="1A6A7A51"/>
    <w:multiLevelType w:val="hybridMultilevel"/>
    <w:tmpl w:val="AC5EFEC0"/>
    <w:lvl w:ilvl="0" w:tplc="C826F382">
      <w:start w:val="1"/>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2CA3C1E">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DF7296BA">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0B0AF258">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2B65308">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B1217A2">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6D2CD08">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B6056A4">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26A0AD2">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1B05483F"/>
    <w:multiLevelType w:val="hybridMultilevel"/>
    <w:tmpl w:val="D15C6CF8"/>
    <w:lvl w:ilvl="0" w:tplc="BF74467A">
      <w:start w:val="1"/>
      <w:numFmt w:val="bullet"/>
      <w:lvlText w:val="•"/>
      <w:lvlJc w:val="left"/>
      <w:pPr>
        <w:tabs>
          <w:tab w:val="num" w:pos="720"/>
        </w:tabs>
        <w:ind w:left="720" w:hanging="360"/>
      </w:pPr>
      <w:rPr>
        <w:rFonts w:hint="default" w:ascii="Arial" w:hAnsi="Arial"/>
      </w:rPr>
    </w:lvl>
    <w:lvl w:ilvl="1" w:tplc="097659E4">
      <w:start w:val="1"/>
      <w:numFmt w:val="bullet"/>
      <w:lvlText w:val="•"/>
      <w:lvlJc w:val="left"/>
      <w:pPr>
        <w:tabs>
          <w:tab w:val="num" w:pos="1440"/>
        </w:tabs>
        <w:ind w:left="1440" w:hanging="360"/>
      </w:pPr>
      <w:rPr>
        <w:rFonts w:hint="default" w:ascii="Arial" w:hAnsi="Arial"/>
      </w:rPr>
    </w:lvl>
    <w:lvl w:ilvl="2" w:tplc="E6A83EB8" w:tentative="1">
      <w:start w:val="1"/>
      <w:numFmt w:val="bullet"/>
      <w:lvlText w:val="•"/>
      <w:lvlJc w:val="left"/>
      <w:pPr>
        <w:tabs>
          <w:tab w:val="num" w:pos="2160"/>
        </w:tabs>
        <w:ind w:left="2160" w:hanging="360"/>
      </w:pPr>
      <w:rPr>
        <w:rFonts w:hint="default" w:ascii="Arial" w:hAnsi="Arial"/>
      </w:rPr>
    </w:lvl>
    <w:lvl w:ilvl="3" w:tplc="ABBE2796" w:tentative="1">
      <w:start w:val="1"/>
      <w:numFmt w:val="bullet"/>
      <w:lvlText w:val="•"/>
      <w:lvlJc w:val="left"/>
      <w:pPr>
        <w:tabs>
          <w:tab w:val="num" w:pos="2880"/>
        </w:tabs>
        <w:ind w:left="2880" w:hanging="360"/>
      </w:pPr>
      <w:rPr>
        <w:rFonts w:hint="default" w:ascii="Arial" w:hAnsi="Arial"/>
      </w:rPr>
    </w:lvl>
    <w:lvl w:ilvl="4" w:tplc="ED14BF4C" w:tentative="1">
      <w:start w:val="1"/>
      <w:numFmt w:val="bullet"/>
      <w:lvlText w:val="•"/>
      <w:lvlJc w:val="left"/>
      <w:pPr>
        <w:tabs>
          <w:tab w:val="num" w:pos="3600"/>
        </w:tabs>
        <w:ind w:left="3600" w:hanging="360"/>
      </w:pPr>
      <w:rPr>
        <w:rFonts w:hint="default" w:ascii="Arial" w:hAnsi="Arial"/>
      </w:rPr>
    </w:lvl>
    <w:lvl w:ilvl="5" w:tplc="4CDE5D82" w:tentative="1">
      <w:start w:val="1"/>
      <w:numFmt w:val="bullet"/>
      <w:lvlText w:val="•"/>
      <w:lvlJc w:val="left"/>
      <w:pPr>
        <w:tabs>
          <w:tab w:val="num" w:pos="4320"/>
        </w:tabs>
        <w:ind w:left="4320" w:hanging="360"/>
      </w:pPr>
      <w:rPr>
        <w:rFonts w:hint="default" w:ascii="Arial" w:hAnsi="Arial"/>
      </w:rPr>
    </w:lvl>
    <w:lvl w:ilvl="6" w:tplc="B866A404" w:tentative="1">
      <w:start w:val="1"/>
      <w:numFmt w:val="bullet"/>
      <w:lvlText w:val="•"/>
      <w:lvlJc w:val="left"/>
      <w:pPr>
        <w:tabs>
          <w:tab w:val="num" w:pos="5040"/>
        </w:tabs>
        <w:ind w:left="5040" w:hanging="360"/>
      </w:pPr>
      <w:rPr>
        <w:rFonts w:hint="default" w:ascii="Arial" w:hAnsi="Arial"/>
      </w:rPr>
    </w:lvl>
    <w:lvl w:ilvl="7" w:tplc="B8040722" w:tentative="1">
      <w:start w:val="1"/>
      <w:numFmt w:val="bullet"/>
      <w:lvlText w:val="•"/>
      <w:lvlJc w:val="left"/>
      <w:pPr>
        <w:tabs>
          <w:tab w:val="num" w:pos="5760"/>
        </w:tabs>
        <w:ind w:left="5760" w:hanging="360"/>
      </w:pPr>
      <w:rPr>
        <w:rFonts w:hint="default" w:ascii="Arial" w:hAnsi="Arial"/>
      </w:rPr>
    </w:lvl>
    <w:lvl w:ilvl="8" w:tplc="11425306"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C9B0AE5"/>
    <w:multiLevelType w:val="hybridMultilevel"/>
    <w:tmpl w:val="EB409C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30AE2E78"/>
    <w:multiLevelType w:val="hybridMultilevel"/>
    <w:tmpl w:val="CD4EDF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5967118"/>
    <w:multiLevelType w:val="hybridMultilevel"/>
    <w:tmpl w:val="0E146EC4"/>
    <w:lvl w:ilvl="0" w:tplc="FFFFFFFF">
      <w:start w:val="6"/>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A760950">
      <w:start w:val="1"/>
      <w:numFmt w:val="bullet"/>
      <w:lvlText w:val="•"/>
      <w:lvlJc w:val="left"/>
      <w:pPr>
        <w:ind w:left="1800" w:hanging="360"/>
      </w:pPr>
      <w:rPr>
        <w:rFonts w:hint="default" w:ascii="Times New Roman" w:hAnsi="Times New Roman"/>
      </w:rPr>
    </w:lvl>
    <w:lvl w:ilvl="2" w:tplc="FFFFFFFF">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7" w15:restartNumberingAfterBreak="0">
    <w:nsid w:val="367B57E4"/>
    <w:multiLevelType w:val="hybridMultilevel"/>
    <w:tmpl w:val="1F30D5F0"/>
    <w:lvl w:ilvl="0" w:tplc="08090001">
      <w:start w:val="1"/>
      <w:numFmt w:val="bullet"/>
      <w:lvlText w:val=""/>
      <w:lvlJc w:val="left"/>
      <w:pPr>
        <w:ind w:left="936" w:hanging="360"/>
      </w:pPr>
      <w:rPr>
        <w:rFonts w:hint="default" w:ascii="Symbol" w:hAnsi="Symbol"/>
      </w:rPr>
    </w:lvl>
    <w:lvl w:ilvl="1" w:tplc="08090003" w:tentative="1">
      <w:start w:val="1"/>
      <w:numFmt w:val="bullet"/>
      <w:lvlText w:val="o"/>
      <w:lvlJc w:val="left"/>
      <w:pPr>
        <w:ind w:left="1656" w:hanging="360"/>
      </w:pPr>
      <w:rPr>
        <w:rFonts w:hint="default" w:ascii="Courier New" w:hAnsi="Courier New" w:cs="Courier New"/>
      </w:rPr>
    </w:lvl>
    <w:lvl w:ilvl="2" w:tplc="08090005" w:tentative="1">
      <w:start w:val="1"/>
      <w:numFmt w:val="bullet"/>
      <w:lvlText w:val=""/>
      <w:lvlJc w:val="left"/>
      <w:pPr>
        <w:ind w:left="2376" w:hanging="360"/>
      </w:pPr>
      <w:rPr>
        <w:rFonts w:hint="default" w:ascii="Wingdings" w:hAnsi="Wingdings"/>
      </w:rPr>
    </w:lvl>
    <w:lvl w:ilvl="3" w:tplc="08090001" w:tentative="1">
      <w:start w:val="1"/>
      <w:numFmt w:val="bullet"/>
      <w:lvlText w:val=""/>
      <w:lvlJc w:val="left"/>
      <w:pPr>
        <w:ind w:left="3096" w:hanging="360"/>
      </w:pPr>
      <w:rPr>
        <w:rFonts w:hint="default" w:ascii="Symbol" w:hAnsi="Symbol"/>
      </w:rPr>
    </w:lvl>
    <w:lvl w:ilvl="4" w:tplc="08090003" w:tentative="1">
      <w:start w:val="1"/>
      <w:numFmt w:val="bullet"/>
      <w:lvlText w:val="o"/>
      <w:lvlJc w:val="left"/>
      <w:pPr>
        <w:ind w:left="3816" w:hanging="360"/>
      </w:pPr>
      <w:rPr>
        <w:rFonts w:hint="default" w:ascii="Courier New" w:hAnsi="Courier New" w:cs="Courier New"/>
      </w:rPr>
    </w:lvl>
    <w:lvl w:ilvl="5" w:tplc="08090005" w:tentative="1">
      <w:start w:val="1"/>
      <w:numFmt w:val="bullet"/>
      <w:lvlText w:val=""/>
      <w:lvlJc w:val="left"/>
      <w:pPr>
        <w:ind w:left="4536" w:hanging="360"/>
      </w:pPr>
      <w:rPr>
        <w:rFonts w:hint="default" w:ascii="Wingdings" w:hAnsi="Wingdings"/>
      </w:rPr>
    </w:lvl>
    <w:lvl w:ilvl="6" w:tplc="08090001" w:tentative="1">
      <w:start w:val="1"/>
      <w:numFmt w:val="bullet"/>
      <w:lvlText w:val=""/>
      <w:lvlJc w:val="left"/>
      <w:pPr>
        <w:ind w:left="5256" w:hanging="360"/>
      </w:pPr>
      <w:rPr>
        <w:rFonts w:hint="default" w:ascii="Symbol" w:hAnsi="Symbol"/>
      </w:rPr>
    </w:lvl>
    <w:lvl w:ilvl="7" w:tplc="08090003" w:tentative="1">
      <w:start w:val="1"/>
      <w:numFmt w:val="bullet"/>
      <w:lvlText w:val="o"/>
      <w:lvlJc w:val="left"/>
      <w:pPr>
        <w:ind w:left="5976" w:hanging="360"/>
      </w:pPr>
      <w:rPr>
        <w:rFonts w:hint="default" w:ascii="Courier New" w:hAnsi="Courier New" w:cs="Courier New"/>
      </w:rPr>
    </w:lvl>
    <w:lvl w:ilvl="8" w:tplc="08090005" w:tentative="1">
      <w:start w:val="1"/>
      <w:numFmt w:val="bullet"/>
      <w:lvlText w:val=""/>
      <w:lvlJc w:val="left"/>
      <w:pPr>
        <w:ind w:left="6696" w:hanging="360"/>
      </w:pPr>
      <w:rPr>
        <w:rFonts w:hint="default" w:ascii="Wingdings" w:hAnsi="Wingdings"/>
      </w:rPr>
    </w:lvl>
  </w:abstractNum>
  <w:abstractNum w:abstractNumId="8" w15:restartNumberingAfterBreak="0">
    <w:nsid w:val="3DB801C2"/>
    <w:multiLevelType w:val="hybridMultilevel"/>
    <w:tmpl w:val="61624CD6"/>
    <w:lvl w:ilvl="0" w:tplc="FC10A3D0">
      <w:start w:val="22"/>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7CCF93E">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4350BC4C">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0D8EF7A">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BC9AEC42">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2420772">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FD81A2A">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3D76270E">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C00CBD8">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429B7205"/>
    <w:multiLevelType w:val="hybridMultilevel"/>
    <w:tmpl w:val="CEE27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6A8705F"/>
    <w:multiLevelType w:val="hybridMultilevel"/>
    <w:tmpl w:val="6E1A57B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F177270"/>
    <w:multiLevelType w:val="hybridMultilevel"/>
    <w:tmpl w:val="B3A06F5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C077CC"/>
    <w:multiLevelType w:val="hybridMultilevel"/>
    <w:tmpl w:val="246206D6"/>
    <w:lvl w:ilvl="0" w:tplc="91502120">
      <w:start w:val="29"/>
      <w:numFmt w:val="decimal"/>
      <w:lvlText w:val="%1."/>
      <w:lvlJc w:val="left"/>
      <w:pPr>
        <w:ind w:left="37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F7C1F66">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BCC492E">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D960EE7E">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7B89708">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8F449706">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5EAC79DC">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F461EF2">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8AAE9D5E">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3" w15:restartNumberingAfterBreak="0">
    <w:nsid w:val="54E35CE7"/>
    <w:multiLevelType w:val="hybridMultilevel"/>
    <w:tmpl w:val="9AD8BBEE"/>
    <w:lvl w:ilvl="0" w:tplc="2640B754">
      <w:start w:val="1"/>
      <w:numFmt w:val="decimal"/>
      <w:lvlText w:val="%1."/>
      <w:lvlJc w:val="left"/>
      <w:pPr>
        <w:ind w:left="426"/>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4C8FA96">
      <w:start w:val="1"/>
      <w:numFmt w:val="lowerLetter"/>
      <w:lvlText w:val="%2"/>
      <w:lvlJc w:val="left"/>
      <w:pPr>
        <w:ind w:left="11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4B8F98E">
      <w:start w:val="1"/>
      <w:numFmt w:val="lowerRoman"/>
      <w:lvlText w:val="%3"/>
      <w:lvlJc w:val="left"/>
      <w:pPr>
        <w:ind w:left="19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49E8ADA">
      <w:start w:val="1"/>
      <w:numFmt w:val="decimal"/>
      <w:lvlText w:val="%4"/>
      <w:lvlJc w:val="left"/>
      <w:pPr>
        <w:ind w:left="26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D5ECD52">
      <w:start w:val="1"/>
      <w:numFmt w:val="lowerLetter"/>
      <w:lvlText w:val="%5"/>
      <w:lvlJc w:val="left"/>
      <w:pPr>
        <w:ind w:left="33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609488EE">
      <w:start w:val="1"/>
      <w:numFmt w:val="lowerRoman"/>
      <w:lvlText w:val="%6"/>
      <w:lvlJc w:val="left"/>
      <w:pPr>
        <w:ind w:left="40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D806868">
      <w:start w:val="1"/>
      <w:numFmt w:val="decimal"/>
      <w:lvlText w:val="%7"/>
      <w:lvlJc w:val="left"/>
      <w:pPr>
        <w:ind w:left="47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BA060F0A">
      <w:start w:val="1"/>
      <w:numFmt w:val="lowerLetter"/>
      <w:lvlText w:val="%8"/>
      <w:lvlJc w:val="left"/>
      <w:pPr>
        <w:ind w:left="55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4F40BD4A">
      <w:start w:val="1"/>
      <w:numFmt w:val="lowerRoman"/>
      <w:lvlText w:val="%9"/>
      <w:lvlJc w:val="left"/>
      <w:pPr>
        <w:ind w:left="6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4" w15:restartNumberingAfterBreak="0">
    <w:nsid w:val="64816925"/>
    <w:multiLevelType w:val="hybridMultilevel"/>
    <w:tmpl w:val="3ACE7168"/>
    <w:lvl w:ilvl="0" w:tplc="5A167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AC339B"/>
    <w:multiLevelType w:val="hybridMultilevel"/>
    <w:tmpl w:val="35F2152E"/>
    <w:lvl w:ilvl="0" w:tplc="FA760950">
      <w:start w:val="1"/>
      <w:numFmt w:val="bullet"/>
      <w:lvlText w:val="•"/>
      <w:lvlJc w:val="left"/>
      <w:pPr>
        <w:ind w:left="360"/>
      </w:pPr>
      <w:rPr>
        <w:rFonts w:hint="default" w:ascii="Times New Roman" w:hAnsi="Times New Roman"/>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
      <w:lvlJc w:val="left"/>
      <w:pPr>
        <w:ind w:left="1800" w:hanging="360"/>
      </w:pPr>
      <w:rPr>
        <w:rFonts w:hint="default" w:ascii="Times New Roman" w:hAnsi="Times New Roman"/>
      </w:rPr>
    </w:lvl>
    <w:lvl w:ilvl="2" w:tplc="FFFFFFFF">
      <w:start w:val="1"/>
      <w:numFmt w:val="lowerRoman"/>
      <w:lvlText w:val="%3"/>
      <w:lvlJc w:val="left"/>
      <w:pPr>
        <w:ind w:left="21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decimal"/>
      <w:lvlText w:val="%4"/>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lowerLetter"/>
      <w:lvlText w:val="%5"/>
      <w:lvlJc w:val="left"/>
      <w:pPr>
        <w:ind w:left="36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lowerRoman"/>
      <w:lvlText w:val="%6"/>
      <w:lvlJc w:val="left"/>
      <w:pPr>
        <w:ind w:left="43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decimal"/>
      <w:lvlText w:val="%7"/>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lowerLetter"/>
      <w:lvlText w:val="%8"/>
      <w:lvlJc w:val="left"/>
      <w:pPr>
        <w:ind w:left="57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lowerRoman"/>
      <w:lvlText w:val="%9"/>
      <w:lvlJc w:val="left"/>
      <w:pPr>
        <w:ind w:left="64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6" w15:restartNumberingAfterBreak="0">
    <w:nsid w:val="692A3AA8"/>
    <w:multiLevelType w:val="hybridMultilevel"/>
    <w:tmpl w:val="FCE453A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AB97D9E"/>
    <w:multiLevelType w:val="multilevel"/>
    <w:tmpl w:val="C7B62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DF803BA"/>
    <w:multiLevelType w:val="hybridMultilevel"/>
    <w:tmpl w:val="33B65512"/>
    <w:lvl w:ilvl="0" w:tplc="0CA470AE">
      <w:start w:val="16"/>
      <w:numFmt w:val="decimal"/>
      <w:lvlText w:val="%1."/>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91411B4">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6E983A96">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2CE6858">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DFCEB70">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B73CEC96">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BD866D3C">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6ACDF4E">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51BC0356">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19" w15:restartNumberingAfterBreak="0">
    <w:nsid w:val="752B3BEB"/>
    <w:multiLevelType w:val="hybridMultilevel"/>
    <w:tmpl w:val="9D404382"/>
    <w:lvl w:ilvl="0" w:tplc="FA760950">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71121E3"/>
    <w:multiLevelType w:val="hybridMultilevel"/>
    <w:tmpl w:val="77069E1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B047C3"/>
    <w:multiLevelType w:val="hybridMultilevel"/>
    <w:tmpl w:val="A4ACD1EE"/>
    <w:lvl w:ilvl="0" w:tplc="FA760950">
      <w:start w:val="1"/>
      <w:numFmt w:val="bullet"/>
      <w:lvlText w:val="•"/>
      <w:lvlJc w:val="left"/>
      <w:pPr>
        <w:tabs>
          <w:tab w:val="num" w:pos="360"/>
        </w:tabs>
        <w:ind w:left="360" w:hanging="360"/>
      </w:pPr>
      <w:rPr>
        <w:rFonts w:hint="default" w:ascii="Times New Roman" w:hAnsi="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BED10A7"/>
    <w:multiLevelType w:val="hybridMultilevel"/>
    <w:tmpl w:val="28B40CA4"/>
    <w:lvl w:ilvl="0" w:tplc="74264D16">
      <w:start w:val="1"/>
      <w:numFmt w:val="lowerLetter"/>
      <w:lvlText w:val="%1."/>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7C68F86">
      <w:start w:val="1"/>
      <w:numFmt w:val="lowerRoman"/>
      <w:lvlText w:val="%2."/>
      <w:lvlJc w:val="left"/>
      <w:pPr>
        <w:ind w:left="1827"/>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9DEA992A">
      <w:start w:val="1"/>
      <w:numFmt w:val="lowerRoman"/>
      <w:lvlText w:val="%3"/>
      <w:lvlJc w:val="left"/>
      <w:pPr>
        <w:ind w:left="255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575613C6">
      <w:start w:val="1"/>
      <w:numFmt w:val="decimal"/>
      <w:lvlText w:val="%4"/>
      <w:lvlJc w:val="left"/>
      <w:pPr>
        <w:ind w:left="327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E4E01496">
      <w:start w:val="1"/>
      <w:numFmt w:val="lowerLetter"/>
      <w:lvlText w:val="%5"/>
      <w:lvlJc w:val="left"/>
      <w:pPr>
        <w:ind w:left="399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03424672">
      <w:start w:val="1"/>
      <w:numFmt w:val="lowerRoman"/>
      <w:lvlText w:val="%6"/>
      <w:lvlJc w:val="left"/>
      <w:pPr>
        <w:ind w:left="471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018CB5DE">
      <w:start w:val="1"/>
      <w:numFmt w:val="decimal"/>
      <w:lvlText w:val="%7"/>
      <w:lvlJc w:val="left"/>
      <w:pPr>
        <w:ind w:left="543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2064BDC">
      <w:start w:val="1"/>
      <w:numFmt w:val="lowerLetter"/>
      <w:lvlText w:val="%8"/>
      <w:lvlJc w:val="left"/>
      <w:pPr>
        <w:ind w:left="615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A9A83712">
      <w:start w:val="1"/>
      <w:numFmt w:val="lowerRoman"/>
      <w:lvlText w:val="%9"/>
      <w:lvlJc w:val="left"/>
      <w:pPr>
        <w:ind w:left="6873"/>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num w:numId="1" w16cid:durableId="643311711">
    <w:abstractNumId w:val="2"/>
  </w:num>
  <w:num w:numId="2" w16cid:durableId="671684183">
    <w:abstractNumId w:val="0"/>
  </w:num>
  <w:num w:numId="3" w16cid:durableId="890576850">
    <w:abstractNumId w:val="18"/>
  </w:num>
  <w:num w:numId="4" w16cid:durableId="963727781">
    <w:abstractNumId w:val="22"/>
  </w:num>
  <w:num w:numId="5" w16cid:durableId="1081176314">
    <w:abstractNumId w:val="8"/>
  </w:num>
  <w:num w:numId="6" w16cid:durableId="779764237">
    <w:abstractNumId w:val="12"/>
  </w:num>
  <w:num w:numId="7" w16cid:durableId="268244566">
    <w:abstractNumId w:val="13"/>
  </w:num>
  <w:num w:numId="8" w16cid:durableId="728112927">
    <w:abstractNumId w:val="17"/>
  </w:num>
  <w:num w:numId="9" w16cid:durableId="1439524013">
    <w:abstractNumId w:val="16"/>
  </w:num>
  <w:num w:numId="10" w16cid:durableId="1928999903">
    <w:abstractNumId w:val="7"/>
  </w:num>
  <w:num w:numId="11" w16cid:durableId="1072922008">
    <w:abstractNumId w:val="21"/>
  </w:num>
  <w:num w:numId="12" w16cid:durableId="345209432">
    <w:abstractNumId w:val="9"/>
  </w:num>
  <w:num w:numId="13" w16cid:durableId="128477702">
    <w:abstractNumId w:val="5"/>
  </w:num>
  <w:num w:numId="14" w16cid:durableId="1407141679">
    <w:abstractNumId w:val="3"/>
  </w:num>
  <w:num w:numId="15" w16cid:durableId="742340396">
    <w:abstractNumId w:val="10"/>
  </w:num>
  <w:num w:numId="16" w16cid:durableId="1898541764">
    <w:abstractNumId w:val="6"/>
  </w:num>
  <w:num w:numId="17" w16cid:durableId="144471071">
    <w:abstractNumId w:val="15"/>
  </w:num>
  <w:num w:numId="18" w16cid:durableId="1952587667">
    <w:abstractNumId w:val="1"/>
  </w:num>
  <w:num w:numId="19" w16cid:durableId="126095403">
    <w:abstractNumId w:val="19"/>
  </w:num>
  <w:num w:numId="20" w16cid:durableId="901132994">
    <w:abstractNumId w:val="4"/>
  </w:num>
  <w:num w:numId="21" w16cid:durableId="2108232793">
    <w:abstractNumId w:val="11"/>
  </w:num>
  <w:num w:numId="22" w16cid:durableId="517430003">
    <w:abstractNumId w:val="20"/>
  </w:num>
  <w:num w:numId="23" w16cid:durableId="132554986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46A"/>
    <w:rsid w:val="00042179"/>
    <w:rsid w:val="00042714"/>
    <w:rsid w:val="000515CD"/>
    <w:rsid w:val="000626FA"/>
    <w:rsid w:val="000661BA"/>
    <w:rsid w:val="00077543"/>
    <w:rsid w:val="0008223F"/>
    <w:rsid w:val="00093526"/>
    <w:rsid w:val="000A1A87"/>
    <w:rsid w:val="000B12DC"/>
    <w:rsid w:val="000B3A15"/>
    <w:rsid w:val="000C493F"/>
    <w:rsid w:val="000C708D"/>
    <w:rsid w:val="000D1607"/>
    <w:rsid w:val="000E174B"/>
    <w:rsid w:val="0010776B"/>
    <w:rsid w:val="0012206C"/>
    <w:rsid w:val="00130A4F"/>
    <w:rsid w:val="00132EE7"/>
    <w:rsid w:val="00135D86"/>
    <w:rsid w:val="00137F6A"/>
    <w:rsid w:val="00141FB9"/>
    <w:rsid w:val="001637A7"/>
    <w:rsid w:val="0018611D"/>
    <w:rsid w:val="0019171C"/>
    <w:rsid w:val="001A635B"/>
    <w:rsid w:val="001F6D18"/>
    <w:rsid w:val="001F7BC1"/>
    <w:rsid w:val="0021459E"/>
    <w:rsid w:val="0024179F"/>
    <w:rsid w:val="00273CD1"/>
    <w:rsid w:val="00287183"/>
    <w:rsid w:val="002B4178"/>
    <w:rsid w:val="00313F1E"/>
    <w:rsid w:val="00316D3F"/>
    <w:rsid w:val="00324583"/>
    <w:rsid w:val="00330605"/>
    <w:rsid w:val="003434DD"/>
    <w:rsid w:val="00344D28"/>
    <w:rsid w:val="00344EA8"/>
    <w:rsid w:val="00352F35"/>
    <w:rsid w:val="00361803"/>
    <w:rsid w:val="00375264"/>
    <w:rsid w:val="00382D87"/>
    <w:rsid w:val="00391315"/>
    <w:rsid w:val="003975C0"/>
    <w:rsid w:val="003F3EF9"/>
    <w:rsid w:val="003F7D04"/>
    <w:rsid w:val="00412ADF"/>
    <w:rsid w:val="0042221F"/>
    <w:rsid w:val="0043369C"/>
    <w:rsid w:val="004414A2"/>
    <w:rsid w:val="00442291"/>
    <w:rsid w:val="00462A22"/>
    <w:rsid w:val="004D0A2D"/>
    <w:rsid w:val="004E7211"/>
    <w:rsid w:val="004E74F4"/>
    <w:rsid w:val="004F26D8"/>
    <w:rsid w:val="0050723A"/>
    <w:rsid w:val="005429AD"/>
    <w:rsid w:val="0055046A"/>
    <w:rsid w:val="00552387"/>
    <w:rsid w:val="005676C0"/>
    <w:rsid w:val="0059498F"/>
    <w:rsid w:val="00597425"/>
    <w:rsid w:val="005A0CA0"/>
    <w:rsid w:val="005A2047"/>
    <w:rsid w:val="005B77C8"/>
    <w:rsid w:val="005C2236"/>
    <w:rsid w:val="005C7D2B"/>
    <w:rsid w:val="005F1433"/>
    <w:rsid w:val="00600668"/>
    <w:rsid w:val="006122FC"/>
    <w:rsid w:val="00622E21"/>
    <w:rsid w:val="006324BA"/>
    <w:rsid w:val="00642A52"/>
    <w:rsid w:val="00655F1E"/>
    <w:rsid w:val="00672A9D"/>
    <w:rsid w:val="00680D82"/>
    <w:rsid w:val="006837C8"/>
    <w:rsid w:val="006B1072"/>
    <w:rsid w:val="006B43A5"/>
    <w:rsid w:val="006D7ACF"/>
    <w:rsid w:val="006E3321"/>
    <w:rsid w:val="006E37D5"/>
    <w:rsid w:val="00704E6D"/>
    <w:rsid w:val="007055C9"/>
    <w:rsid w:val="00716B08"/>
    <w:rsid w:val="00767D72"/>
    <w:rsid w:val="00774E6F"/>
    <w:rsid w:val="00796585"/>
    <w:rsid w:val="007A4C05"/>
    <w:rsid w:val="007C692E"/>
    <w:rsid w:val="007D0D16"/>
    <w:rsid w:val="007E2A80"/>
    <w:rsid w:val="00825E7C"/>
    <w:rsid w:val="008330CA"/>
    <w:rsid w:val="00857ABE"/>
    <w:rsid w:val="00860765"/>
    <w:rsid w:val="0086360C"/>
    <w:rsid w:val="00866CA9"/>
    <w:rsid w:val="008873F7"/>
    <w:rsid w:val="008C5F15"/>
    <w:rsid w:val="008E715C"/>
    <w:rsid w:val="00916B9D"/>
    <w:rsid w:val="009268A5"/>
    <w:rsid w:val="009403B3"/>
    <w:rsid w:val="00947DB5"/>
    <w:rsid w:val="009577B3"/>
    <w:rsid w:val="00960D4E"/>
    <w:rsid w:val="009AD2E1"/>
    <w:rsid w:val="009C7EB6"/>
    <w:rsid w:val="009D0C80"/>
    <w:rsid w:val="009E238D"/>
    <w:rsid w:val="00A01973"/>
    <w:rsid w:val="00A15965"/>
    <w:rsid w:val="00A540DE"/>
    <w:rsid w:val="00A6746C"/>
    <w:rsid w:val="00A93757"/>
    <w:rsid w:val="00AA730F"/>
    <w:rsid w:val="00AA784E"/>
    <w:rsid w:val="00AC12ED"/>
    <w:rsid w:val="00AC4377"/>
    <w:rsid w:val="00AD073F"/>
    <w:rsid w:val="00AD2476"/>
    <w:rsid w:val="00AE004D"/>
    <w:rsid w:val="00B27317"/>
    <w:rsid w:val="00B505F9"/>
    <w:rsid w:val="00B6770E"/>
    <w:rsid w:val="00B75562"/>
    <w:rsid w:val="00B86031"/>
    <w:rsid w:val="00B912E0"/>
    <w:rsid w:val="00B9627D"/>
    <w:rsid w:val="00BC2BBE"/>
    <w:rsid w:val="00BC6832"/>
    <w:rsid w:val="00C1284C"/>
    <w:rsid w:val="00C14607"/>
    <w:rsid w:val="00C2750E"/>
    <w:rsid w:val="00C45767"/>
    <w:rsid w:val="00C71AD1"/>
    <w:rsid w:val="00C7373B"/>
    <w:rsid w:val="00C94BAA"/>
    <w:rsid w:val="00CA161C"/>
    <w:rsid w:val="00CA1644"/>
    <w:rsid w:val="00CA76F0"/>
    <w:rsid w:val="00CB3F38"/>
    <w:rsid w:val="00CC0102"/>
    <w:rsid w:val="00D10AA0"/>
    <w:rsid w:val="00D15682"/>
    <w:rsid w:val="00D32B95"/>
    <w:rsid w:val="00D64F1E"/>
    <w:rsid w:val="00D75A42"/>
    <w:rsid w:val="00D9374A"/>
    <w:rsid w:val="00DA0998"/>
    <w:rsid w:val="00DA4332"/>
    <w:rsid w:val="00DA7AEC"/>
    <w:rsid w:val="00DB0BB0"/>
    <w:rsid w:val="00DB2CB0"/>
    <w:rsid w:val="00DC2FB4"/>
    <w:rsid w:val="00DD0E92"/>
    <w:rsid w:val="00DE194B"/>
    <w:rsid w:val="00DE3B9F"/>
    <w:rsid w:val="00DF27FC"/>
    <w:rsid w:val="00E02783"/>
    <w:rsid w:val="00E13321"/>
    <w:rsid w:val="00E33099"/>
    <w:rsid w:val="00E40798"/>
    <w:rsid w:val="00E446B8"/>
    <w:rsid w:val="00E44D61"/>
    <w:rsid w:val="00E756BC"/>
    <w:rsid w:val="00EB22C7"/>
    <w:rsid w:val="00EB6FEC"/>
    <w:rsid w:val="00EE0DA9"/>
    <w:rsid w:val="00F06A1B"/>
    <w:rsid w:val="00F173E9"/>
    <w:rsid w:val="00F35337"/>
    <w:rsid w:val="00F53345"/>
    <w:rsid w:val="00F62C96"/>
    <w:rsid w:val="00F74B89"/>
    <w:rsid w:val="00FC1461"/>
    <w:rsid w:val="00FE5BA9"/>
    <w:rsid w:val="00FF2F2E"/>
    <w:rsid w:val="040226F2"/>
    <w:rsid w:val="049964F2"/>
    <w:rsid w:val="05883F0B"/>
    <w:rsid w:val="084E0167"/>
    <w:rsid w:val="094FBFA9"/>
    <w:rsid w:val="0CEAF7DE"/>
    <w:rsid w:val="0FAC3E86"/>
    <w:rsid w:val="0FFFB4CA"/>
    <w:rsid w:val="11926F27"/>
    <w:rsid w:val="12E281DC"/>
    <w:rsid w:val="1355B781"/>
    <w:rsid w:val="14879787"/>
    <w:rsid w:val="14DB6B32"/>
    <w:rsid w:val="17F4DB73"/>
    <w:rsid w:val="199E0D1F"/>
    <w:rsid w:val="1A67FAC4"/>
    <w:rsid w:val="1DDDEE61"/>
    <w:rsid w:val="1E446C0C"/>
    <w:rsid w:val="1E9F71C2"/>
    <w:rsid w:val="205808F8"/>
    <w:rsid w:val="205B44CB"/>
    <w:rsid w:val="21A64A61"/>
    <w:rsid w:val="261DA9DF"/>
    <w:rsid w:val="271A9596"/>
    <w:rsid w:val="28650314"/>
    <w:rsid w:val="29FD0532"/>
    <w:rsid w:val="2A0B203C"/>
    <w:rsid w:val="2B9CEDA1"/>
    <w:rsid w:val="2D23A902"/>
    <w:rsid w:val="2FA806DD"/>
    <w:rsid w:val="2FC797B6"/>
    <w:rsid w:val="3130228F"/>
    <w:rsid w:val="3136996E"/>
    <w:rsid w:val="3330C062"/>
    <w:rsid w:val="33433F4B"/>
    <w:rsid w:val="336B3F54"/>
    <w:rsid w:val="3558348A"/>
    <w:rsid w:val="358B0A18"/>
    <w:rsid w:val="36B91672"/>
    <w:rsid w:val="36E12409"/>
    <w:rsid w:val="371AEF87"/>
    <w:rsid w:val="37555C9C"/>
    <w:rsid w:val="3B664425"/>
    <w:rsid w:val="3BDF82D3"/>
    <w:rsid w:val="3C49B79A"/>
    <w:rsid w:val="3D64B106"/>
    <w:rsid w:val="3DE87104"/>
    <w:rsid w:val="3EC9816F"/>
    <w:rsid w:val="4059A0BA"/>
    <w:rsid w:val="40D90C1D"/>
    <w:rsid w:val="4229E47A"/>
    <w:rsid w:val="43AFC186"/>
    <w:rsid w:val="49119B1F"/>
    <w:rsid w:val="49F0881F"/>
    <w:rsid w:val="4EE404D3"/>
    <w:rsid w:val="4FA168BA"/>
    <w:rsid w:val="507E6D25"/>
    <w:rsid w:val="52BBEF85"/>
    <w:rsid w:val="53510EAB"/>
    <w:rsid w:val="5387856A"/>
    <w:rsid w:val="54915257"/>
    <w:rsid w:val="5679C2D9"/>
    <w:rsid w:val="57CEED65"/>
    <w:rsid w:val="58A7A8A9"/>
    <w:rsid w:val="5C18A7ED"/>
    <w:rsid w:val="5C242AF2"/>
    <w:rsid w:val="5CACDA64"/>
    <w:rsid w:val="60847720"/>
    <w:rsid w:val="632B60B7"/>
    <w:rsid w:val="664C1C61"/>
    <w:rsid w:val="691C88F4"/>
    <w:rsid w:val="6A796633"/>
    <w:rsid w:val="6AF8BB80"/>
    <w:rsid w:val="6B22B5B1"/>
    <w:rsid w:val="6B371D4E"/>
    <w:rsid w:val="6D098B8C"/>
    <w:rsid w:val="6D4C2290"/>
    <w:rsid w:val="6E19772D"/>
    <w:rsid w:val="6E8E42FD"/>
    <w:rsid w:val="6F4C7831"/>
    <w:rsid w:val="6FB9C5F8"/>
    <w:rsid w:val="705833FD"/>
    <w:rsid w:val="710BFD72"/>
    <w:rsid w:val="71BAA75B"/>
    <w:rsid w:val="734607C4"/>
    <w:rsid w:val="76531B7E"/>
    <w:rsid w:val="78516185"/>
    <w:rsid w:val="7AC6A1B0"/>
    <w:rsid w:val="7BBFFE10"/>
    <w:rsid w:val="7C22F20C"/>
    <w:rsid w:val="7C285E3B"/>
    <w:rsid w:val="7C63A656"/>
    <w:rsid w:val="7CA554E9"/>
    <w:rsid w:val="7CE2E430"/>
    <w:rsid w:val="7CF6DDC7"/>
    <w:rsid w:val="7D7E3062"/>
    <w:rsid w:val="7E03B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E02E"/>
  <w15:docId w15:val="{BB732DBD-34D1-48A5-8CFC-FC6DFED12A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1" w:line="250" w:lineRule="auto"/>
      <w:ind w:left="586" w:hanging="370"/>
    </w:pPr>
    <w:rPr>
      <w:rFonts w:ascii="Arial" w:hAnsi="Arial" w:eastAsia="Arial" w:cs="Arial"/>
      <w:color w:val="000000"/>
    </w:rPr>
  </w:style>
  <w:style w:type="paragraph" w:styleId="Heading1">
    <w:name w:val="heading 1"/>
    <w:next w:val="Normal"/>
    <w:link w:val="Heading1Char"/>
    <w:uiPriority w:val="9"/>
    <w:qFormat/>
    <w:pPr>
      <w:keepNext/>
      <w:keepLines/>
      <w:spacing w:after="98" w:line="259" w:lineRule="auto"/>
      <w:ind w:left="226" w:hanging="10"/>
      <w:outlineLvl w:val="0"/>
    </w:pPr>
    <w:rPr>
      <w:rFonts w:ascii="Arial" w:hAnsi="Arial" w:eastAsia="Arial" w:cs="Arial"/>
      <w:b/>
      <w:color w:val="000000"/>
    </w:rPr>
  </w:style>
  <w:style w:type="paragraph" w:styleId="Heading2">
    <w:name w:val="heading 2"/>
    <w:basedOn w:val="Normal"/>
    <w:next w:val="Normal"/>
    <w:link w:val="Heading2Char"/>
    <w:uiPriority w:val="9"/>
    <w:unhideWhenUsed/>
    <w:qFormat/>
    <w:rsid w:val="00680D82"/>
    <w:pPr>
      <w:keepNext/>
      <w:keepLines/>
      <w:spacing w:before="40" w:after="0"/>
      <w:outlineLvl w:val="1"/>
    </w:pPr>
    <w:rPr>
      <w:rFonts w:asciiTheme="majorHAnsi" w:hAnsiTheme="majorHAnsi"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E2A80"/>
    <w:pPr>
      <w:keepNext/>
      <w:keepLines/>
      <w:spacing w:before="40" w:after="0"/>
      <w:outlineLvl w:val="2"/>
    </w:pPr>
    <w:rPr>
      <w:rFonts w:asciiTheme="majorHAnsi" w:hAnsiTheme="majorHAnsi" w:eastAsiaTheme="majorEastAsia" w:cstheme="majorBidi"/>
      <w:color w:val="0A2F4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eading2Char" w:customStyle="1">
    <w:name w:val="Heading 2 Char"/>
    <w:basedOn w:val="DefaultParagraphFont"/>
    <w:link w:val="Heading2"/>
    <w:uiPriority w:val="9"/>
    <w:rsid w:val="00680D82"/>
    <w:rPr>
      <w:rFonts w:asciiTheme="majorHAnsi" w:hAnsiTheme="majorHAnsi" w:eastAsiaTheme="majorEastAsia" w:cstheme="majorBidi"/>
      <w:color w:val="0F4761" w:themeColor="accent1" w:themeShade="BF"/>
      <w:sz w:val="26"/>
      <w:szCs w:val="26"/>
    </w:rPr>
  </w:style>
  <w:style w:type="character" w:styleId="Hyperlink">
    <w:name w:val="Hyperlink"/>
    <w:basedOn w:val="DefaultParagraphFont"/>
    <w:uiPriority w:val="99"/>
    <w:semiHidden/>
    <w:unhideWhenUsed/>
    <w:rsid w:val="00DA0998"/>
    <w:rPr>
      <w:color w:val="0000FF"/>
      <w:u w:val="single"/>
    </w:rPr>
  </w:style>
  <w:style w:type="character" w:styleId="vkekvd" w:customStyle="1">
    <w:name w:val="vkekvd"/>
    <w:basedOn w:val="DefaultParagraphFont"/>
    <w:rsid w:val="00DA0998"/>
  </w:style>
  <w:style w:type="character" w:styleId="t286pc" w:customStyle="1">
    <w:name w:val="t286pc"/>
    <w:basedOn w:val="DefaultParagraphFont"/>
    <w:rsid w:val="00DA0998"/>
  </w:style>
  <w:style w:type="paragraph" w:styleId="ListParagraph">
    <w:name w:val="List Paragraph"/>
    <w:basedOn w:val="Normal"/>
    <w:uiPriority w:val="34"/>
    <w:qFormat/>
    <w:rsid w:val="007E2A80"/>
    <w:pPr>
      <w:ind w:left="720"/>
      <w:contextualSpacing/>
    </w:pPr>
  </w:style>
  <w:style w:type="character" w:styleId="Heading3Char" w:customStyle="1">
    <w:name w:val="Heading 3 Char"/>
    <w:basedOn w:val="DefaultParagraphFont"/>
    <w:link w:val="Heading3"/>
    <w:uiPriority w:val="9"/>
    <w:semiHidden/>
    <w:rsid w:val="007E2A80"/>
    <w:rPr>
      <w:rFonts w:asciiTheme="majorHAnsi" w:hAnsiTheme="majorHAnsi" w:eastAsiaTheme="majorEastAsia" w:cstheme="majorBidi"/>
      <w:color w:val="0A2F40" w:themeColor="accent1" w:themeShade="7F"/>
    </w:rPr>
  </w:style>
  <w:style w:type="paragraph" w:styleId="FootnoteText">
    <w:name w:val="footnote text"/>
    <w:basedOn w:val="Normal"/>
    <w:link w:val="FootnoteTextChar"/>
    <w:uiPriority w:val="99"/>
    <w:semiHidden/>
    <w:unhideWhenUsed/>
    <w:rsid w:val="007E2A80"/>
    <w:pPr>
      <w:spacing w:after="0" w:line="240" w:lineRule="auto"/>
      <w:ind w:left="0" w:firstLine="0"/>
    </w:pPr>
    <w:rPr>
      <w:rFonts w:asciiTheme="minorHAnsi" w:hAnsiTheme="minorHAnsi" w:eastAsiaTheme="minorHAnsi" w:cstheme="minorBidi"/>
      <w:color w:val="auto"/>
      <w:sz w:val="20"/>
      <w:szCs w:val="20"/>
      <w:lang w:eastAsia="en-US"/>
    </w:rPr>
  </w:style>
  <w:style w:type="character" w:styleId="FootnoteTextChar" w:customStyle="1">
    <w:name w:val="Footnote Text Char"/>
    <w:basedOn w:val="DefaultParagraphFont"/>
    <w:link w:val="FootnoteText"/>
    <w:uiPriority w:val="99"/>
    <w:semiHidden/>
    <w:rsid w:val="007E2A80"/>
    <w:rPr>
      <w:rFonts w:eastAsiaTheme="minorHAnsi"/>
      <w:sz w:val="20"/>
      <w:szCs w:val="20"/>
      <w:lang w:eastAsia="en-US"/>
    </w:rPr>
  </w:style>
  <w:style w:type="character" w:styleId="FootnoteReference">
    <w:name w:val="footnote reference"/>
    <w:basedOn w:val="DefaultParagraphFont"/>
    <w:uiPriority w:val="99"/>
    <w:semiHidden/>
    <w:unhideWhenUsed/>
    <w:rsid w:val="007E2A80"/>
    <w:rPr>
      <w:vertAlign w:val="superscript"/>
    </w:rPr>
  </w:style>
  <w:style w:type="paragraph" w:styleId="NoSpacing">
    <w:name w:val="No Spacing"/>
    <w:uiPriority w:val="1"/>
    <w:qFormat/>
    <w:rsid w:val="006324BA"/>
    <w:pPr>
      <w:spacing w:after="0" w:line="240" w:lineRule="auto"/>
      <w:ind w:left="586" w:hanging="370"/>
    </w:pPr>
    <w:rPr>
      <w:rFonts w:ascii="Arial" w:hAnsi="Arial" w:eastAsia="Arial" w:cs="Arial"/>
      <w:color w:val="000000"/>
    </w:rPr>
  </w:style>
  <w:style w:type="paragraph" w:styleId="IntenseQuote">
    <w:name w:val="Intense Quote"/>
    <w:basedOn w:val="Normal"/>
    <w:next w:val="Normal"/>
    <w:link w:val="IntenseQuoteChar"/>
    <w:uiPriority w:val="30"/>
    <w:qFormat/>
    <w:rsid w:val="006D7ACF"/>
    <w:pPr>
      <w:pBdr>
        <w:top w:val="single" w:color="0F4761" w:themeColor="accent1" w:themeShade="BF" w:sz="4" w:space="10"/>
        <w:bottom w:val="single" w:color="0F4761" w:themeColor="accent1" w:themeShade="BF" w:sz="4" w:space="10"/>
      </w:pBdr>
      <w:spacing w:before="360" w:after="360" w:line="259" w:lineRule="auto"/>
      <w:ind w:left="864" w:right="864" w:firstLine="0"/>
      <w:jc w:val="center"/>
    </w:pPr>
    <w:rPr>
      <w:rFonts w:asciiTheme="minorHAnsi" w:hAnsiTheme="minorHAnsi" w:eastAsiaTheme="minorHAnsi" w:cstheme="minorBidi"/>
      <w:i/>
      <w:iCs/>
      <w:color w:val="0F4761" w:themeColor="accent1" w:themeShade="BF"/>
      <w:sz w:val="22"/>
      <w:szCs w:val="22"/>
      <w:lang w:eastAsia="en-US"/>
    </w:rPr>
  </w:style>
  <w:style w:type="character" w:styleId="IntenseQuoteChar" w:customStyle="1">
    <w:name w:val="Intense Quote Char"/>
    <w:basedOn w:val="DefaultParagraphFont"/>
    <w:link w:val="IntenseQuote"/>
    <w:uiPriority w:val="30"/>
    <w:rsid w:val="006D7ACF"/>
    <w:rPr>
      <w:rFonts w:eastAsiaTheme="minorHAnsi"/>
      <w:i/>
      <w:iCs/>
      <w:color w:val="0F4761" w:themeColor="accent1" w:themeShade="BF"/>
      <w:sz w:val="22"/>
      <w:szCs w:val="22"/>
      <w:lang w:eastAsia="en-US"/>
    </w:rPr>
  </w:style>
  <w:style w:type="table" w:styleId="TableGrid0">
    <w:name w:val="Table Grid"/>
    <w:basedOn w:val="TableNormal"/>
    <w:uiPriority w:val="59"/>
    <w:rsid w:val="00E330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EB6FEC"/>
    <w:pPr>
      <w:numPr>
        <w:ilvl w:val="1"/>
      </w:numPr>
      <w:spacing w:after="160" w:line="259" w:lineRule="auto"/>
      <w:ind w:left="586" w:hanging="370"/>
    </w:pPr>
    <w:rPr>
      <w:rFonts w:asciiTheme="minorHAnsi" w:hAnsiTheme="minorHAnsi" w:eastAsiaTheme="majorEastAsia" w:cstheme="majorBidi"/>
      <w:color w:val="595959" w:themeColor="text1" w:themeTint="A6"/>
      <w:spacing w:val="15"/>
      <w:sz w:val="28"/>
      <w:szCs w:val="28"/>
      <w:lang w:eastAsia="en-US"/>
    </w:rPr>
  </w:style>
  <w:style w:type="character" w:styleId="SubtitleChar" w:customStyle="1">
    <w:name w:val="Subtitle Char"/>
    <w:basedOn w:val="DefaultParagraphFont"/>
    <w:link w:val="Subtitle"/>
    <w:uiPriority w:val="11"/>
    <w:rsid w:val="00EB6FEC"/>
    <w:rPr>
      <w:rFonts w:eastAsiaTheme="majorEastAsia" w:cstheme="majorBidi"/>
      <w:color w:val="595959" w:themeColor="text1" w:themeTint="A6"/>
      <w:spacing w:val="15"/>
      <w:sz w:val="28"/>
      <w:szCs w:val="28"/>
      <w:lang w:eastAsia="en-US"/>
    </w:rPr>
  </w:style>
  <w:style w:type="paragraph" w:styleId="NormalWeb">
    <w:name w:val="Normal (Web)"/>
    <w:basedOn w:val="Normal"/>
    <w:uiPriority w:val="99"/>
    <w:unhideWhenUsed/>
    <w:rsid w:val="005C7D2B"/>
    <w:pPr>
      <w:spacing w:before="100" w:beforeAutospacing="1" w:after="100" w:afterAutospacing="1" w:line="240" w:lineRule="auto"/>
      <w:ind w:left="0" w:firstLine="0"/>
    </w:pPr>
    <w:rPr>
      <w:rFonts w:ascii="Times New Roman" w:hAnsi="Times New Roman" w:eastAsia="Times New Roman" w:cs="Times New Roman"/>
      <w:color w:val="auto"/>
      <w:kern w:val="0"/>
      <w14:ligatures w14:val="none"/>
    </w:rPr>
  </w:style>
  <w:style w:type="paragraph" w:styleId="Header">
    <w:name w:val="header"/>
    <w:basedOn w:val="Normal"/>
    <w:link w:val="HeaderChar"/>
    <w:uiPriority w:val="99"/>
    <w:unhideWhenUsed/>
    <w:rsid w:val="0004217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42179"/>
    <w:rPr>
      <w:rFonts w:ascii="Arial" w:hAnsi="Arial" w:eastAsia="Arial" w:cs="Arial"/>
      <w:color w:val="000000"/>
    </w:rPr>
  </w:style>
  <w:style w:type="paragraph" w:styleId="Footer">
    <w:name w:val="footer"/>
    <w:basedOn w:val="Normal"/>
    <w:link w:val="FooterChar"/>
    <w:uiPriority w:val="99"/>
    <w:unhideWhenUsed/>
    <w:rsid w:val="0004217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42179"/>
    <w:rPr>
      <w:rFonts w:ascii="Arial" w:hAnsi="Arial" w:eastAsia="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485">
      <w:bodyDiv w:val="1"/>
      <w:marLeft w:val="0"/>
      <w:marRight w:val="0"/>
      <w:marTop w:val="0"/>
      <w:marBottom w:val="0"/>
      <w:divBdr>
        <w:top w:val="none" w:sz="0" w:space="0" w:color="auto"/>
        <w:left w:val="none" w:sz="0" w:space="0" w:color="auto"/>
        <w:bottom w:val="none" w:sz="0" w:space="0" w:color="auto"/>
        <w:right w:val="none" w:sz="0" w:space="0" w:color="auto"/>
      </w:divBdr>
      <w:divsChild>
        <w:div w:id="902256868">
          <w:marLeft w:val="1080"/>
          <w:marRight w:val="0"/>
          <w:marTop w:val="100"/>
          <w:marBottom w:val="0"/>
          <w:divBdr>
            <w:top w:val="none" w:sz="0" w:space="0" w:color="auto"/>
            <w:left w:val="none" w:sz="0" w:space="0" w:color="auto"/>
            <w:bottom w:val="none" w:sz="0" w:space="0" w:color="auto"/>
            <w:right w:val="none" w:sz="0" w:space="0" w:color="auto"/>
          </w:divBdr>
        </w:div>
        <w:div w:id="1402558919">
          <w:marLeft w:val="1080"/>
          <w:marRight w:val="0"/>
          <w:marTop w:val="100"/>
          <w:marBottom w:val="0"/>
          <w:divBdr>
            <w:top w:val="none" w:sz="0" w:space="0" w:color="auto"/>
            <w:left w:val="none" w:sz="0" w:space="0" w:color="auto"/>
            <w:bottom w:val="none" w:sz="0" w:space="0" w:color="auto"/>
            <w:right w:val="none" w:sz="0" w:space="0" w:color="auto"/>
          </w:divBdr>
        </w:div>
        <w:div w:id="1366062103">
          <w:marLeft w:val="1080"/>
          <w:marRight w:val="0"/>
          <w:marTop w:val="100"/>
          <w:marBottom w:val="0"/>
          <w:divBdr>
            <w:top w:val="none" w:sz="0" w:space="0" w:color="auto"/>
            <w:left w:val="none" w:sz="0" w:space="0" w:color="auto"/>
            <w:bottom w:val="none" w:sz="0" w:space="0" w:color="auto"/>
            <w:right w:val="none" w:sz="0" w:space="0" w:color="auto"/>
          </w:divBdr>
        </w:div>
        <w:div w:id="1497264839">
          <w:marLeft w:val="360"/>
          <w:marRight w:val="0"/>
          <w:marTop w:val="200"/>
          <w:marBottom w:val="0"/>
          <w:divBdr>
            <w:top w:val="none" w:sz="0" w:space="0" w:color="auto"/>
            <w:left w:val="none" w:sz="0" w:space="0" w:color="auto"/>
            <w:bottom w:val="none" w:sz="0" w:space="0" w:color="auto"/>
            <w:right w:val="none" w:sz="0" w:space="0" w:color="auto"/>
          </w:divBdr>
        </w:div>
        <w:div w:id="1407267761">
          <w:marLeft w:val="360"/>
          <w:marRight w:val="0"/>
          <w:marTop w:val="200"/>
          <w:marBottom w:val="0"/>
          <w:divBdr>
            <w:top w:val="none" w:sz="0" w:space="0" w:color="auto"/>
            <w:left w:val="none" w:sz="0" w:space="0" w:color="auto"/>
            <w:bottom w:val="none" w:sz="0" w:space="0" w:color="auto"/>
            <w:right w:val="none" w:sz="0" w:space="0" w:color="auto"/>
          </w:divBdr>
        </w:div>
        <w:div w:id="918518551">
          <w:marLeft w:val="360"/>
          <w:marRight w:val="0"/>
          <w:marTop w:val="200"/>
          <w:marBottom w:val="0"/>
          <w:divBdr>
            <w:top w:val="none" w:sz="0" w:space="0" w:color="auto"/>
            <w:left w:val="none" w:sz="0" w:space="0" w:color="auto"/>
            <w:bottom w:val="none" w:sz="0" w:space="0" w:color="auto"/>
            <w:right w:val="none" w:sz="0" w:space="0" w:color="auto"/>
          </w:divBdr>
        </w:div>
        <w:div w:id="468936419">
          <w:marLeft w:val="360"/>
          <w:marRight w:val="0"/>
          <w:marTop w:val="200"/>
          <w:marBottom w:val="0"/>
          <w:divBdr>
            <w:top w:val="none" w:sz="0" w:space="0" w:color="auto"/>
            <w:left w:val="none" w:sz="0" w:space="0" w:color="auto"/>
            <w:bottom w:val="none" w:sz="0" w:space="0" w:color="auto"/>
            <w:right w:val="none" w:sz="0" w:space="0" w:color="auto"/>
          </w:divBdr>
        </w:div>
        <w:div w:id="664019018">
          <w:marLeft w:val="360"/>
          <w:marRight w:val="0"/>
          <w:marTop w:val="200"/>
          <w:marBottom w:val="0"/>
          <w:divBdr>
            <w:top w:val="none" w:sz="0" w:space="0" w:color="auto"/>
            <w:left w:val="none" w:sz="0" w:space="0" w:color="auto"/>
            <w:bottom w:val="none" w:sz="0" w:space="0" w:color="auto"/>
            <w:right w:val="none" w:sz="0" w:space="0" w:color="auto"/>
          </w:divBdr>
        </w:div>
        <w:div w:id="1512835706">
          <w:marLeft w:val="1080"/>
          <w:marRight w:val="0"/>
          <w:marTop w:val="100"/>
          <w:marBottom w:val="0"/>
          <w:divBdr>
            <w:top w:val="none" w:sz="0" w:space="0" w:color="auto"/>
            <w:left w:val="none" w:sz="0" w:space="0" w:color="auto"/>
            <w:bottom w:val="none" w:sz="0" w:space="0" w:color="auto"/>
            <w:right w:val="none" w:sz="0" w:space="0" w:color="auto"/>
          </w:divBdr>
        </w:div>
        <w:div w:id="1357999675">
          <w:marLeft w:val="1080"/>
          <w:marRight w:val="0"/>
          <w:marTop w:val="100"/>
          <w:marBottom w:val="0"/>
          <w:divBdr>
            <w:top w:val="none" w:sz="0" w:space="0" w:color="auto"/>
            <w:left w:val="none" w:sz="0" w:space="0" w:color="auto"/>
            <w:bottom w:val="none" w:sz="0" w:space="0" w:color="auto"/>
            <w:right w:val="none" w:sz="0" w:space="0" w:color="auto"/>
          </w:divBdr>
        </w:div>
        <w:div w:id="588974514">
          <w:marLeft w:val="1080"/>
          <w:marRight w:val="0"/>
          <w:marTop w:val="100"/>
          <w:marBottom w:val="0"/>
          <w:divBdr>
            <w:top w:val="none" w:sz="0" w:space="0" w:color="auto"/>
            <w:left w:val="none" w:sz="0" w:space="0" w:color="auto"/>
            <w:bottom w:val="none" w:sz="0" w:space="0" w:color="auto"/>
            <w:right w:val="none" w:sz="0" w:space="0" w:color="auto"/>
          </w:divBdr>
        </w:div>
      </w:divsChild>
    </w:div>
    <w:div w:id="341737232">
      <w:bodyDiv w:val="1"/>
      <w:marLeft w:val="0"/>
      <w:marRight w:val="0"/>
      <w:marTop w:val="0"/>
      <w:marBottom w:val="0"/>
      <w:divBdr>
        <w:top w:val="none" w:sz="0" w:space="0" w:color="auto"/>
        <w:left w:val="none" w:sz="0" w:space="0" w:color="auto"/>
        <w:bottom w:val="none" w:sz="0" w:space="0" w:color="auto"/>
        <w:right w:val="none" w:sz="0" w:space="0" w:color="auto"/>
      </w:divBdr>
    </w:div>
    <w:div w:id="1051227496">
      <w:bodyDiv w:val="1"/>
      <w:marLeft w:val="0"/>
      <w:marRight w:val="0"/>
      <w:marTop w:val="0"/>
      <w:marBottom w:val="0"/>
      <w:divBdr>
        <w:top w:val="none" w:sz="0" w:space="0" w:color="auto"/>
        <w:left w:val="none" w:sz="0" w:space="0" w:color="auto"/>
        <w:bottom w:val="none" w:sz="0" w:space="0" w:color="auto"/>
        <w:right w:val="none" w:sz="0" w:space="0" w:color="auto"/>
      </w:divBdr>
      <w:divsChild>
        <w:div w:id="936058536">
          <w:marLeft w:val="360"/>
          <w:marRight w:val="0"/>
          <w:marTop w:val="200"/>
          <w:marBottom w:val="0"/>
          <w:divBdr>
            <w:top w:val="none" w:sz="0" w:space="0" w:color="auto"/>
            <w:left w:val="none" w:sz="0" w:space="0" w:color="auto"/>
            <w:bottom w:val="none" w:sz="0" w:space="0" w:color="auto"/>
            <w:right w:val="none" w:sz="0" w:space="0" w:color="auto"/>
          </w:divBdr>
        </w:div>
        <w:div w:id="671759472">
          <w:marLeft w:val="360"/>
          <w:marRight w:val="0"/>
          <w:marTop w:val="200"/>
          <w:marBottom w:val="0"/>
          <w:divBdr>
            <w:top w:val="none" w:sz="0" w:space="0" w:color="auto"/>
            <w:left w:val="none" w:sz="0" w:space="0" w:color="auto"/>
            <w:bottom w:val="none" w:sz="0" w:space="0" w:color="auto"/>
            <w:right w:val="none" w:sz="0" w:space="0" w:color="auto"/>
          </w:divBdr>
        </w:div>
        <w:div w:id="1360156791">
          <w:marLeft w:val="360"/>
          <w:marRight w:val="0"/>
          <w:marTop w:val="200"/>
          <w:marBottom w:val="0"/>
          <w:divBdr>
            <w:top w:val="none" w:sz="0" w:space="0" w:color="auto"/>
            <w:left w:val="none" w:sz="0" w:space="0" w:color="auto"/>
            <w:bottom w:val="none" w:sz="0" w:space="0" w:color="auto"/>
            <w:right w:val="none" w:sz="0" w:space="0" w:color="auto"/>
          </w:divBdr>
        </w:div>
        <w:div w:id="847134954">
          <w:marLeft w:val="360"/>
          <w:marRight w:val="0"/>
          <w:marTop w:val="200"/>
          <w:marBottom w:val="0"/>
          <w:divBdr>
            <w:top w:val="none" w:sz="0" w:space="0" w:color="auto"/>
            <w:left w:val="none" w:sz="0" w:space="0" w:color="auto"/>
            <w:bottom w:val="none" w:sz="0" w:space="0" w:color="auto"/>
            <w:right w:val="none" w:sz="0" w:space="0" w:color="auto"/>
          </w:divBdr>
        </w:div>
        <w:div w:id="385954928">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theme" Target="theme/theme1.xml" Id="rId13" /><Relationship Type="http://schemas.openxmlformats.org/officeDocument/2006/relationships/styles" Target="styles.xml" Id="rId3" /><Relationship Type="http://schemas.microsoft.com/office/2011/relationships/people" Target="people.xml" Id="Rd5d21432f41d4cc0"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11/relationships/commentsExtended" Target="commentsExtended.xml" Id="R5b591617a81c487e" /><Relationship Type="http://schemas.microsoft.com/office/2016/09/relationships/commentsIds" Target="commentsIds.xml" Id="Rc7cc347b21fd4dbb"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mycouncil.oxford.gov.uk/mgIssueHistoryHome.aspx?IId=40690&amp;PlanId=547&amp;RPID=48535418" TargetMode="Externa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597C747F-9E06-450C-BAA4-EDDB2149B74E}">
  <ds:schemaRefs>
    <ds:schemaRef ds:uri="http://schemas.openxmlformats.org/officeDocument/2006/bibliography"/>
  </ds:schemaRefs>
</ds:datastoreItem>
</file>

<file path=customXml/itemProps2.xml><?xml version="1.0" encoding="utf-8"?>
<ds:datastoreItem xmlns:ds="http://schemas.openxmlformats.org/officeDocument/2006/customXml" ds:itemID="{97898550-E7A8-4B01-88C8-793FB85B4E7C}"/>
</file>

<file path=customXml/itemProps3.xml><?xml version="1.0" encoding="utf-8"?>
<ds:datastoreItem xmlns:ds="http://schemas.openxmlformats.org/officeDocument/2006/customXml" ds:itemID="{046002C9-4DDE-4171-9FD7-12F48DA8B1D4}"/>
</file>

<file path=customXml/itemProps4.xml><?xml version="1.0" encoding="utf-8"?>
<ds:datastoreItem xmlns:ds="http://schemas.openxmlformats.org/officeDocument/2006/customXml" ds:itemID="{644092CC-8BAB-42D5-ACF7-18746843B85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Lourdes DeBarry</dc:creator>
  <cp:keywords>OxCityCouncil Report</cp:keywords>
  <cp:lastModifiedBy>MCCOLLUM Brenda</cp:lastModifiedBy>
  <cp:revision>9</cp:revision>
  <dcterms:created xsi:type="dcterms:W3CDTF">2025-10-23T06:24:00Z</dcterms:created>
  <dcterms:modified xsi:type="dcterms:W3CDTF">2025-11-21T11:03:15Z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